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89968" w14:textId="5038E47D" w:rsidR="002054FE" w:rsidRPr="003E7EAD" w:rsidRDefault="002054FE" w:rsidP="000C09D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32B7587" wp14:editId="3D786EA1">
            <wp:extent cx="946150" cy="96202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EAB1" w14:textId="77777777" w:rsidR="002054FE" w:rsidRPr="000C09D6" w:rsidRDefault="002054FE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14:paraId="2F05862F" w14:textId="77777777" w:rsidR="002054FE" w:rsidRPr="003E7EAD" w:rsidRDefault="002054FE" w:rsidP="003E7EAD">
      <w:pPr>
        <w:spacing w:before="108" w:after="108"/>
        <w:jc w:val="center"/>
        <w:outlineLvl w:val="0"/>
        <w:rPr>
          <w:bCs/>
          <w:color w:val="26282F"/>
          <w:sz w:val="36"/>
        </w:rPr>
      </w:pPr>
      <w:r w:rsidRPr="003E7EAD">
        <w:rPr>
          <w:bCs/>
          <w:color w:val="26282F"/>
          <w:sz w:val="36"/>
        </w:rPr>
        <w:t>ТВЕРСКАЯ ОБЛАСТЬ</w:t>
      </w:r>
    </w:p>
    <w:p w14:paraId="01F9728C" w14:textId="77777777" w:rsidR="002054FE" w:rsidRPr="003E7EAD" w:rsidRDefault="002054FE" w:rsidP="003E7EAD">
      <w:pPr>
        <w:jc w:val="center"/>
        <w:rPr>
          <w:b/>
          <w:sz w:val="56"/>
        </w:rPr>
      </w:pPr>
      <w:proofErr w:type="gramStart"/>
      <w:r w:rsidRPr="003E7EAD">
        <w:rPr>
          <w:b/>
          <w:sz w:val="56"/>
        </w:rPr>
        <w:t>З</w:t>
      </w:r>
      <w:proofErr w:type="gramEnd"/>
      <w:r w:rsidRPr="003E7EAD">
        <w:rPr>
          <w:b/>
          <w:sz w:val="56"/>
        </w:rPr>
        <w:t xml:space="preserve">  А  К  О  Н</w:t>
      </w:r>
    </w:p>
    <w:p w14:paraId="678920A4" w14:textId="77777777" w:rsidR="00AB61C3" w:rsidRPr="003F76DC" w:rsidRDefault="00AB61C3" w:rsidP="00AB61C3">
      <w:pPr>
        <w:jc w:val="center"/>
        <w:rPr>
          <w:b/>
          <w:sz w:val="28"/>
          <w:szCs w:val="28"/>
        </w:rPr>
      </w:pPr>
    </w:p>
    <w:p w14:paraId="12B6112B" w14:textId="77777777" w:rsidR="00AB61C3" w:rsidRPr="003F76DC" w:rsidRDefault="00AB61C3" w:rsidP="00AB61C3">
      <w:pPr>
        <w:jc w:val="center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О внесении изменений в закон Тверской области</w:t>
      </w:r>
    </w:p>
    <w:p w14:paraId="6DBD4D13" w14:textId="31A26C9F" w:rsidR="000D5ADF" w:rsidRDefault="00AB61C3" w:rsidP="000D5ADF">
      <w:pPr>
        <w:jc w:val="center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«</w:t>
      </w:r>
      <w:r w:rsidR="000D5ADF" w:rsidRPr="003F76DC">
        <w:rPr>
          <w:b/>
          <w:sz w:val="28"/>
          <w:szCs w:val="28"/>
        </w:rPr>
        <w:t>О видах объектов регионального и местного значения, подлежащих отображению в документах территориального планирования»</w:t>
      </w:r>
    </w:p>
    <w:p w14:paraId="3F2DE81A" w14:textId="5F2E0D34" w:rsidR="002054FE" w:rsidRDefault="002054FE" w:rsidP="000D5ADF">
      <w:pPr>
        <w:jc w:val="center"/>
        <w:rPr>
          <w:b/>
          <w:sz w:val="28"/>
          <w:szCs w:val="28"/>
        </w:rPr>
      </w:pPr>
    </w:p>
    <w:p w14:paraId="04BD62FB" w14:textId="24DD58D7" w:rsidR="002054FE" w:rsidRPr="002054FE" w:rsidRDefault="002054FE" w:rsidP="002054FE">
      <w:pPr>
        <w:ind w:left="4678"/>
        <w:jc w:val="both"/>
        <w:rPr>
          <w:bCs/>
          <w:sz w:val="28"/>
          <w:szCs w:val="28"/>
        </w:rPr>
      </w:pPr>
      <w:r w:rsidRPr="002054FE">
        <w:rPr>
          <w:bCs/>
          <w:sz w:val="28"/>
          <w:szCs w:val="28"/>
        </w:rPr>
        <w:t>Принят Законодательным Собранием Тверской области 2</w:t>
      </w:r>
      <w:r>
        <w:rPr>
          <w:bCs/>
          <w:sz w:val="28"/>
          <w:szCs w:val="28"/>
        </w:rPr>
        <w:t>0</w:t>
      </w:r>
      <w:r w:rsidRPr="002054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2054FE">
        <w:rPr>
          <w:bCs/>
          <w:sz w:val="28"/>
          <w:szCs w:val="28"/>
        </w:rPr>
        <w:t xml:space="preserve"> 2019 года</w:t>
      </w:r>
    </w:p>
    <w:p w14:paraId="1242C36C" w14:textId="77777777" w:rsidR="00AB61C3" w:rsidRPr="003F76DC" w:rsidRDefault="00AB61C3" w:rsidP="00AB61C3">
      <w:pPr>
        <w:jc w:val="center"/>
        <w:rPr>
          <w:b/>
          <w:sz w:val="28"/>
          <w:szCs w:val="28"/>
        </w:rPr>
      </w:pPr>
    </w:p>
    <w:p w14:paraId="5CA8405F" w14:textId="77777777" w:rsidR="00AB61C3" w:rsidRPr="003F76DC" w:rsidRDefault="00AB61C3" w:rsidP="002A38E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Статья 1</w:t>
      </w:r>
    </w:p>
    <w:p w14:paraId="3DBA7047" w14:textId="77777777" w:rsidR="005F07F9" w:rsidRPr="003F76DC" w:rsidRDefault="005F07F9" w:rsidP="00AB61C3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14:paraId="26800338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Внести в закон Тверской области от 03.10.2013 № 87-ЗО «О видах объектов регионального и местного значения, подлежащих отображению в документах территориального планирования» (с изменениями, внесенными законами Тверской области от 02.07.2014 № 55-ЗО, от 06.11.2015 № 102-ЗО, от 06.03.2017 № 9-ЗО) следующие изменения:</w:t>
      </w:r>
    </w:p>
    <w:p w14:paraId="18084F91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1) в статье 2:</w:t>
      </w:r>
    </w:p>
    <w:p w14:paraId="11E12773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 xml:space="preserve">а) </w:t>
      </w:r>
      <w:hyperlink r:id="rId10" w:history="1">
        <w:r w:rsidRPr="003F76DC">
          <w:rPr>
            <w:sz w:val="28"/>
            <w:szCs w:val="28"/>
          </w:rPr>
          <w:t>дополнить</w:t>
        </w:r>
      </w:hyperlink>
      <w:r w:rsidRPr="003F76DC">
        <w:rPr>
          <w:sz w:val="28"/>
          <w:szCs w:val="28"/>
        </w:rPr>
        <w:t xml:space="preserve"> пунктом 5</w:t>
      </w:r>
      <w:r>
        <w:rPr>
          <w:sz w:val="28"/>
          <w:szCs w:val="28"/>
          <w:vertAlign w:val="superscript"/>
        </w:rPr>
        <w:t>1</w:t>
      </w:r>
      <w:r w:rsidRPr="003F76DC">
        <w:rPr>
          <w:sz w:val="28"/>
          <w:szCs w:val="28"/>
        </w:rPr>
        <w:t xml:space="preserve"> следующего содержания:</w:t>
      </w:r>
    </w:p>
    <w:p w14:paraId="05B31BFB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«5</w:t>
      </w:r>
      <w:r>
        <w:rPr>
          <w:sz w:val="28"/>
          <w:szCs w:val="28"/>
          <w:vertAlign w:val="superscript"/>
        </w:rPr>
        <w:t>1</w:t>
      </w:r>
      <w:r w:rsidRPr="003F76DC">
        <w:rPr>
          <w:sz w:val="28"/>
          <w:szCs w:val="28"/>
        </w:rPr>
        <w:t>) в области энергетики:</w:t>
      </w:r>
    </w:p>
    <w:p w14:paraId="43451E50" w14:textId="77777777" w:rsidR="00414058" w:rsidRPr="002D5F60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F60">
        <w:rPr>
          <w:sz w:val="28"/>
          <w:szCs w:val="28"/>
        </w:rPr>
        <w:t>а) электр</w:t>
      </w:r>
      <w:r>
        <w:rPr>
          <w:sz w:val="28"/>
          <w:szCs w:val="28"/>
        </w:rPr>
        <w:t xml:space="preserve">ические </w:t>
      </w:r>
      <w:r w:rsidRPr="002D5F60">
        <w:rPr>
          <w:sz w:val="28"/>
          <w:szCs w:val="28"/>
        </w:rPr>
        <w:t xml:space="preserve">станции на основе возобновляемых источников энергии, установленная генерируемая мощность которых </w:t>
      </w:r>
      <w:r>
        <w:rPr>
          <w:sz w:val="28"/>
          <w:szCs w:val="28"/>
        </w:rPr>
        <w:t>составляет</w:t>
      </w:r>
      <w:r w:rsidRPr="002D5F60">
        <w:rPr>
          <w:sz w:val="28"/>
          <w:szCs w:val="28"/>
        </w:rPr>
        <w:t xml:space="preserve"> от 0,1 МВт до 100 МВт;</w:t>
      </w:r>
    </w:p>
    <w:p w14:paraId="4DA8AA65" w14:textId="77777777" w:rsidR="00414058" w:rsidRPr="002D5F60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F60">
        <w:rPr>
          <w:sz w:val="28"/>
          <w:szCs w:val="28"/>
        </w:rPr>
        <w:t>б) электрические станции, установленная генериру</w:t>
      </w:r>
      <w:r>
        <w:rPr>
          <w:sz w:val="28"/>
          <w:szCs w:val="28"/>
        </w:rPr>
        <w:t>ющая</w:t>
      </w:r>
      <w:r w:rsidRPr="002D5F60">
        <w:rPr>
          <w:sz w:val="28"/>
          <w:szCs w:val="28"/>
        </w:rPr>
        <w:t xml:space="preserve"> мощность которых </w:t>
      </w:r>
      <w:r>
        <w:rPr>
          <w:sz w:val="28"/>
          <w:szCs w:val="28"/>
        </w:rPr>
        <w:t>составляет</w:t>
      </w:r>
      <w:r w:rsidRPr="002D5F60">
        <w:rPr>
          <w:sz w:val="28"/>
          <w:szCs w:val="28"/>
        </w:rPr>
        <w:t xml:space="preserve"> от 0,5 МВт до 100 МВт;</w:t>
      </w:r>
    </w:p>
    <w:p w14:paraId="5A9DBB88" w14:textId="77777777" w:rsidR="00414058" w:rsidRPr="002D5F60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F60">
        <w:rPr>
          <w:sz w:val="28"/>
          <w:szCs w:val="28"/>
        </w:rPr>
        <w:t xml:space="preserve">в) подстанции и </w:t>
      </w:r>
      <w:r>
        <w:rPr>
          <w:sz w:val="28"/>
          <w:szCs w:val="28"/>
        </w:rPr>
        <w:t>распределительные</w:t>
      </w:r>
      <w:r w:rsidRPr="002D5F60">
        <w:rPr>
          <w:sz w:val="28"/>
          <w:szCs w:val="28"/>
        </w:rPr>
        <w:t xml:space="preserve"> пункты, проектный номинальный класс напряжени</w:t>
      </w:r>
      <w:r>
        <w:rPr>
          <w:sz w:val="28"/>
          <w:szCs w:val="28"/>
        </w:rPr>
        <w:t>я</w:t>
      </w:r>
      <w:r w:rsidRPr="002D5F60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2D5F60">
        <w:rPr>
          <w:sz w:val="28"/>
          <w:szCs w:val="28"/>
        </w:rPr>
        <w:t xml:space="preserve"> от 35 </w:t>
      </w:r>
      <w:proofErr w:type="spellStart"/>
      <w:r w:rsidRPr="002D5F60">
        <w:rPr>
          <w:sz w:val="28"/>
          <w:szCs w:val="28"/>
        </w:rPr>
        <w:t>кВ</w:t>
      </w:r>
      <w:proofErr w:type="spellEnd"/>
      <w:r w:rsidRPr="002D5F60">
        <w:rPr>
          <w:sz w:val="28"/>
          <w:szCs w:val="28"/>
        </w:rPr>
        <w:t xml:space="preserve"> до 220 </w:t>
      </w:r>
      <w:proofErr w:type="spellStart"/>
      <w:r w:rsidRPr="002D5F60">
        <w:rPr>
          <w:sz w:val="28"/>
          <w:szCs w:val="28"/>
        </w:rPr>
        <w:t>кВ</w:t>
      </w:r>
      <w:proofErr w:type="spellEnd"/>
      <w:r w:rsidRPr="002D5F60">
        <w:rPr>
          <w:sz w:val="28"/>
          <w:szCs w:val="28"/>
        </w:rPr>
        <w:t>;</w:t>
      </w:r>
    </w:p>
    <w:p w14:paraId="70303E40" w14:textId="77777777" w:rsidR="00414058" w:rsidRPr="002D5F60" w:rsidRDefault="00414058" w:rsidP="00414058">
      <w:pPr>
        <w:ind w:firstLine="709"/>
        <w:jc w:val="both"/>
        <w:rPr>
          <w:sz w:val="28"/>
          <w:szCs w:val="28"/>
        </w:rPr>
      </w:pPr>
      <w:r w:rsidRPr="002D5F60">
        <w:rPr>
          <w:sz w:val="28"/>
          <w:szCs w:val="28"/>
        </w:rPr>
        <w:t>г) линии электропередачи, проектный номинальный класс напряжени</w:t>
      </w:r>
      <w:r>
        <w:rPr>
          <w:sz w:val="28"/>
          <w:szCs w:val="28"/>
        </w:rPr>
        <w:t>я</w:t>
      </w:r>
      <w:r w:rsidRPr="002D5F60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2D5F60">
        <w:rPr>
          <w:sz w:val="28"/>
          <w:szCs w:val="28"/>
        </w:rPr>
        <w:t xml:space="preserve"> от 35 </w:t>
      </w:r>
      <w:proofErr w:type="spellStart"/>
      <w:r w:rsidRPr="002D5F60">
        <w:rPr>
          <w:sz w:val="28"/>
          <w:szCs w:val="28"/>
        </w:rPr>
        <w:t>кВ</w:t>
      </w:r>
      <w:proofErr w:type="spellEnd"/>
      <w:r w:rsidRPr="002D5F60">
        <w:rPr>
          <w:sz w:val="28"/>
          <w:szCs w:val="28"/>
        </w:rPr>
        <w:t xml:space="preserve"> до 220 </w:t>
      </w:r>
      <w:proofErr w:type="spellStart"/>
      <w:r w:rsidRPr="002D5F60">
        <w:rPr>
          <w:sz w:val="28"/>
          <w:szCs w:val="28"/>
        </w:rPr>
        <w:t>кВ</w:t>
      </w:r>
      <w:proofErr w:type="spellEnd"/>
      <w:r w:rsidRPr="002D5F60">
        <w:rPr>
          <w:sz w:val="28"/>
          <w:szCs w:val="28"/>
        </w:rPr>
        <w:t xml:space="preserve">, за исключением линий, указанных в </w:t>
      </w:r>
      <w:hyperlink r:id="rId11" w:history="1">
        <w:r w:rsidRPr="002D5F60">
          <w:rPr>
            <w:sz w:val="28"/>
            <w:szCs w:val="28"/>
          </w:rPr>
          <w:t>пунктах 5</w:t>
        </w:r>
      </w:hyperlink>
      <w:r w:rsidRPr="002D5F60">
        <w:rPr>
          <w:sz w:val="28"/>
          <w:szCs w:val="28"/>
        </w:rPr>
        <w:t xml:space="preserve">, </w:t>
      </w:r>
      <w:hyperlink r:id="rId12" w:history="1">
        <w:r w:rsidRPr="002D5F60">
          <w:rPr>
            <w:sz w:val="28"/>
            <w:szCs w:val="28"/>
          </w:rPr>
          <w:t>7</w:t>
        </w:r>
      </w:hyperlink>
      <w:r w:rsidRPr="002D5F60">
        <w:rPr>
          <w:sz w:val="28"/>
          <w:szCs w:val="28"/>
        </w:rPr>
        <w:t xml:space="preserve"> - </w:t>
      </w:r>
      <w:hyperlink r:id="rId13" w:history="1">
        <w:r w:rsidRPr="002D5F60">
          <w:rPr>
            <w:sz w:val="28"/>
            <w:szCs w:val="28"/>
          </w:rPr>
          <w:t>9</w:t>
        </w:r>
      </w:hyperlink>
      <w:r w:rsidRPr="002D5F60">
        <w:rPr>
          <w:sz w:val="28"/>
          <w:szCs w:val="28"/>
        </w:rPr>
        <w:t xml:space="preserve"> Перечня видов объектов федерального значения, подлежащих отображению на схемах территориального планирования Российской Федерации в области энергетики, утвержденного распоряжением Правительства Российской Федерации от 9 февраля 2012 года № 162-р;</w:t>
      </w:r>
      <w:r>
        <w:rPr>
          <w:sz w:val="28"/>
          <w:szCs w:val="28"/>
        </w:rPr>
        <w:t>»;</w:t>
      </w:r>
    </w:p>
    <w:p w14:paraId="05D10208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б) в пункте 6:</w:t>
      </w:r>
    </w:p>
    <w:p w14:paraId="3E47AC39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подпункт «л» изложить в следующей редакции:</w:t>
      </w:r>
    </w:p>
    <w:p w14:paraId="5EA6CCD7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lastRenderedPageBreak/>
        <w:t xml:space="preserve">«л) </w:t>
      </w:r>
      <w:r w:rsidRPr="00A52C32">
        <w:rPr>
          <w:rFonts w:eastAsia="Calibri"/>
          <w:bCs/>
          <w:color w:val="000000"/>
          <w:sz w:val="28"/>
          <w:szCs w:val="28"/>
        </w:rPr>
        <w:t>объекты обработки, обезвреживания и размещения твердых коммунальных отходов, включенные в территориальную схему в области обращения с отходами, в том числе с твердыми коммунальными отходами</w:t>
      </w:r>
      <w:r w:rsidRPr="00A52C32">
        <w:rPr>
          <w:sz w:val="28"/>
          <w:szCs w:val="28"/>
        </w:rPr>
        <w:t>;»;</w:t>
      </w:r>
    </w:p>
    <w:p w14:paraId="400D2E8B" w14:textId="77777777" w:rsidR="00414058" w:rsidRPr="00A52C32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2C32">
        <w:rPr>
          <w:sz w:val="28"/>
          <w:szCs w:val="28"/>
        </w:rPr>
        <w:t>дополнить подпунктом «р» следующего содержания:</w:t>
      </w:r>
    </w:p>
    <w:p w14:paraId="54BF6D8D" w14:textId="77777777" w:rsidR="00414058" w:rsidRPr="00FF5A18" w:rsidRDefault="00414058" w:rsidP="00414058">
      <w:pPr>
        <w:ind w:firstLine="709"/>
        <w:jc w:val="both"/>
        <w:rPr>
          <w:sz w:val="28"/>
          <w:szCs w:val="28"/>
        </w:rPr>
      </w:pPr>
      <w:r w:rsidRPr="00A52C32">
        <w:rPr>
          <w:sz w:val="28"/>
          <w:szCs w:val="28"/>
        </w:rPr>
        <w:t>«</w:t>
      </w:r>
      <w:r w:rsidRPr="00A52C32">
        <w:rPr>
          <w:bCs/>
          <w:iCs/>
          <w:sz w:val="28"/>
          <w:szCs w:val="28"/>
        </w:rPr>
        <w:t>р</w:t>
      </w:r>
      <w:r w:rsidRPr="009B703A">
        <w:rPr>
          <w:iCs/>
          <w:sz w:val="28"/>
          <w:szCs w:val="28"/>
        </w:rPr>
        <w:t>)</w:t>
      </w:r>
      <w:r w:rsidRPr="00A52C32">
        <w:rPr>
          <w:b/>
          <w:bCs/>
          <w:iCs/>
          <w:sz w:val="28"/>
          <w:szCs w:val="28"/>
        </w:rPr>
        <w:t xml:space="preserve"> </w:t>
      </w:r>
      <w:r w:rsidRPr="00A52C32">
        <w:rPr>
          <w:sz w:val="28"/>
          <w:szCs w:val="28"/>
        </w:rPr>
        <w:t>объекты (территории), предназначенные для проведения мероприятий по предупреждению и ликвидации болезней животных, их лечению, защите населения от болезней, общих для человека и животных, в том числе скотомогильники (биотермические ямы);»;</w:t>
      </w:r>
    </w:p>
    <w:p w14:paraId="4EDA9902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2) в статье 3:</w:t>
      </w:r>
    </w:p>
    <w:p w14:paraId="332CB2F3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а) пункт 1 изложить в следующей редакции:</w:t>
      </w:r>
    </w:p>
    <w:p w14:paraId="54D9EA38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«1) в области электро- и газоснабжения:</w:t>
      </w:r>
    </w:p>
    <w:p w14:paraId="46FB4D4C" w14:textId="77777777" w:rsidR="00414058" w:rsidRPr="00AE7AC7" w:rsidRDefault="00414058" w:rsidP="0041405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t>а) существующие линии электропередачи, подстанции и распределительные пункты, проектный номинальный класс напряжени</w:t>
      </w:r>
      <w:r>
        <w:rPr>
          <w:sz w:val="28"/>
          <w:szCs w:val="28"/>
        </w:rPr>
        <w:t>я</w:t>
      </w:r>
      <w:r w:rsidRPr="00AE7AC7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 xml:space="preserve">составляет </w:t>
      </w:r>
      <w:r w:rsidRPr="00AE7AC7">
        <w:rPr>
          <w:sz w:val="28"/>
          <w:szCs w:val="28"/>
        </w:rPr>
        <w:t xml:space="preserve">6 </w:t>
      </w:r>
      <w:proofErr w:type="spellStart"/>
      <w:r w:rsidRPr="00AE7AC7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AE7AC7">
        <w:rPr>
          <w:sz w:val="28"/>
          <w:szCs w:val="28"/>
        </w:rPr>
        <w:t>;</w:t>
      </w:r>
    </w:p>
    <w:p w14:paraId="31D1261D" w14:textId="77777777" w:rsidR="00414058" w:rsidRPr="00AE7AC7" w:rsidRDefault="00414058" w:rsidP="004140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t>б) планируемые линии электропередачи, подстанции и распределительные пункты, проектный номинальный класс напряжени</w:t>
      </w:r>
      <w:r>
        <w:rPr>
          <w:sz w:val="28"/>
          <w:szCs w:val="28"/>
        </w:rPr>
        <w:t>я</w:t>
      </w:r>
      <w:r w:rsidRPr="00AE7AC7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AE7AC7">
        <w:rPr>
          <w:sz w:val="28"/>
          <w:szCs w:val="28"/>
        </w:rPr>
        <w:t xml:space="preserve"> 20 </w:t>
      </w:r>
      <w:proofErr w:type="spellStart"/>
      <w:r w:rsidRPr="00AE7AC7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AE7AC7">
        <w:rPr>
          <w:sz w:val="28"/>
          <w:szCs w:val="28"/>
        </w:rPr>
        <w:t>;</w:t>
      </w:r>
    </w:p>
    <w:p w14:paraId="3FB007A4" w14:textId="77777777" w:rsidR="00414058" w:rsidRPr="00AE7AC7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t xml:space="preserve">в) существующие линии электропередачи и подстанции, проектный номинальный класс напряжения которых составляет 10 </w:t>
      </w:r>
      <w:proofErr w:type="spellStart"/>
      <w:r w:rsidRPr="00AE7AC7">
        <w:rPr>
          <w:sz w:val="28"/>
          <w:szCs w:val="28"/>
        </w:rPr>
        <w:t>кВ</w:t>
      </w:r>
      <w:proofErr w:type="spellEnd"/>
      <w:r w:rsidRPr="00AE7AC7">
        <w:rPr>
          <w:sz w:val="28"/>
          <w:szCs w:val="28"/>
        </w:rPr>
        <w:t xml:space="preserve">, </w:t>
      </w:r>
      <w:bookmarkStart w:id="0" w:name="_Hlk27490313"/>
      <w:r w:rsidRPr="00AE7AC7">
        <w:rPr>
          <w:sz w:val="28"/>
          <w:szCs w:val="28"/>
        </w:rPr>
        <w:t>обеспечивающие электроснабжение населения двух и более поселений</w:t>
      </w:r>
      <w:bookmarkEnd w:id="0"/>
      <w:r w:rsidRPr="00AE7AC7">
        <w:rPr>
          <w:sz w:val="28"/>
          <w:szCs w:val="28"/>
        </w:rPr>
        <w:t xml:space="preserve">; </w:t>
      </w:r>
    </w:p>
    <w:p w14:paraId="5F220800" w14:textId="77777777" w:rsidR="00414058" w:rsidRPr="00AE7AC7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t>г) планируемые линии электропередачи, проектный номинальный класс напряжени</w:t>
      </w:r>
      <w:r>
        <w:rPr>
          <w:sz w:val="28"/>
          <w:szCs w:val="28"/>
        </w:rPr>
        <w:t>я</w:t>
      </w:r>
      <w:r w:rsidRPr="00AE7AC7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AE7AC7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AE7AC7">
        <w:rPr>
          <w:sz w:val="28"/>
          <w:szCs w:val="28"/>
        </w:rPr>
        <w:t xml:space="preserve"> </w:t>
      </w:r>
      <w:proofErr w:type="spellStart"/>
      <w:r w:rsidRPr="00AE7AC7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выше, </w:t>
      </w:r>
      <w:r w:rsidRPr="00AE7AC7">
        <w:rPr>
          <w:sz w:val="28"/>
          <w:szCs w:val="28"/>
        </w:rPr>
        <w:t>обеспечивающие электроснабжение населения двух и более поселений</w:t>
      </w:r>
      <w:r>
        <w:rPr>
          <w:sz w:val="28"/>
          <w:szCs w:val="28"/>
        </w:rPr>
        <w:t>;</w:t>
      </w:r>
    </w:p>
    <w:p w14:paraId="3799D7A5" w14:textId="77777777" w:rsidR="00414058" w:rsidRPr="00DB3C3C" w:rsidRDefault="00414058" w:rsidP="00414058">
      <w:pPr>
        <w:ind w:firstLine="709"/>
        <w:jc w:val="both"/>
        <w:rPr>
          <w:sz w:val="28"/>
          <w:szCs w:val="28"/>
        </w:rPr>
      </w:pPr>
      <w:r w:rsidRPr="00DB3C3C">
        <w:rPr>
          <w:sz w:val="28"/>
          <w:szCs w:val="28"/>
        </w:rPr>
        <w:t>д) компрессорные станции, газораспределительные станции, станции подземного хранения газа, газонаполнительные станции, газонаполнительные пункты;</w:t>
      </w:r>
    </w:p>
    <w:p w14:paraId="23F2A125" w14:textId="005A392E" w:rsidR="00414058" w:rsidRPr="00DB3C3C" w:rsidRDefault="00414058" w:rsidP="00414058">
      <w:pPr>
        <w:ind w:firstLine="709"/>
        <w:jc w:val="both"/>
        <w:rPr>
          <w:i/>
          <w:iCs/>
          <w:sz w:val="28"/>
          <w:szCs w:val="28"/>
        </w:rPr>
      </w:pPr>
      <w:r w:rsidRPr="00DB3C3C">
        <w:rPr>
          <w:sz w:val="28"/>
          <w:szCs w:val="28"/>
        </w:rPr>
        <w:t xml:space="preserve">е) объекты, предназначенные для транспортировки природного газа под давлением свыше 0,3 </w:t>
      </w:r>
      <w:proofErr w:type="spellStart"/>
      <w:r w:rsidRPr="00DB3C3C">
        <w:rPr>
          <w:sz w:val="28"/>
          <w:szCs w:val="28"/>
        </w:rPr>
        <w:t>мегапаскаля</w:t>
      </w:r>
      <w:proofErr w:type="spellEnd"/>
      <w:r w:rsidR="006C7141">
        <w:rPr>
          <w:sz w:val="28"/>
          <w:szCs w:val="28"/>
        </w:rPr>
        <w:t>,</w:t>
      </w:r>
      <w:r w:rsidRPr="00DB3C3C">
        <w:rPr>
          <w:sz w:val="28"/>
          <w:szCs w:val="28"/>
        </w:rPr>
        <w:t xml:space="preserve"> и сооружения на них;</w:t>
      </w:r>
      <w:r>
        <w:rPr>
          <w:sz w:val="28"/>
          <w:szCs w:val="28"/>
        </w:rPr>
        <w:t>»;</w:t>
      </w:r>
    </w:p>
    <w:p w14:paraId="2E1CD7DE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б) в пункте 5 слова «по сбору (в том числе раздельному сбору)» заменить словами «по накоплению (в том числе раздельному накоплению), сбору»;</w:t>
      </w:r>
    </w:p>
    <w:p w14:paraId="239227CE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в) пункт 6 дополнить подпунктом «к» следующего содержания:</w:t>
      </w:r>
    </w:p>
    <w:p w14:paraId="390DE09B" w14:textId="77777777" w:rsidR="00414058" w:rsidRPr="003F76DC" w:rsidRDefault="00414058" w:rsidP="00414058">
      <w:pPr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 xml:space="preserve">«к) </w:t>
      </w:r>
      <w:r w:rsidRPr="00AE7AC7">
        <w:rPr>
          <w:sz w:val="28"/>
          <w:szCs w:val="28"/>
        </w:rPr>
        <w:t>находящиеся в собственности муниципального района объекты культурного наследия (памятники истории и культуры) и их территории; расположенные на территории муниципального района объекты культурного наследия (памятники истории и культуры) местного (муниципального) значения и их территории;»;</w:t>
      </w:r>
    </w:p>
    <w:p w14:paraId="646E5AD2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3) в статье 4:</w:t>
      </w:r>
    </w:p>
    <w:p w14:paraId="789F132F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а) пункт 1 изложить в следующей редакции:</w:t>
      </w:r>
    </w:p>
    <w:p w14:paraId="09AFFDAB" w14:textId="77777777" w:rsidR="00414058" w:rsidRPr="00AE7AC7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«</w:t>
      </w:r>
      <w:r w:rsidRPr="00AE7AC7">
        <w:rPr>
          <w:sz w:val="28"/>
          <w:szCs w:val="28"/>
        </w:rPr>
        <w:t>1) в области электро-, тепло-, газо- и водоснабжения населения, водоотведения:</w:t>
      </w:r>
    </w:p>
    <w:p w14:paraId="3FA34BE2" w14:textId="77777777" w:rsidR="00414058" w:rsidRPr="00AE7AC7" w:rsidRDefault="00414058" w:rsidP="00414058">
      <w:pPr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t>а) существующие подстанции и распределительные пункты, проектный номинальный класс напряжени</w:t>
      </w:r>
      <w:r>
        <w:rPr>
          <w:sz w:val="28"/>
          <w:szCs w:val="28"/>
        </w:rPr>
        <w:t>я</w:t>
      </w:r>
      <w:r w:rsidRPr="00AE7AC7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AE7AC7">
        <w:rPr>
          <w:sz w:val="28"/>
          <w:szCs w:val="28"/>
        </w:rPr>
        <w:t xml:space="preserve"> 6 </w:t>
      </w:r>
      <w:proofErr w:type="spellStart"/>
      <w:r w:rsidRPr="00AE7AC7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AE7AC7">
        <w:rPr>
          <w:sz w:val="28"/>
          <w:szCs w:val="28"/>
        </w:rPr>
        <w:t>;</w:t>
      </w:r>
    </w:p>
    <w:p w14:paraId="76A2F0DE" w14:textId="77777777" w:rsidR="00414058" w:rsidRPr="00AE7AC7" w:rsidRDefault="00414058" w:rsidP="00414058">
      <w:pPr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t>б) планируемые подстанции и распределительные пункты, проектный номинальный класс напряжени</w:t>
      </w:r>
      <w:r>
        <w:rPr>
          <w:sz w:val="28"/>
          <w:szCs w:val="28"/>
        </w:rPr>
        <w:t>я</w:t>
      </w:r>
      <w:r w:rsidRPr="00AE7AC7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AE7AC7">
        <w:rPr>
          <w:sz w:val="28"/>
          <w:szCs w:val="28"/>
        </w:rPr>
        <w:t xml:space="preserve"> 20 </w:t>
      </w:r>
      <w:proofErr w:type="spellStart"/>
      <w:r w:rsidRPr="00AE7AC7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AE7AC7">
        <w:rPr>
          <w:sz w:val="28"/>
          <w:szCs w:val="28"/>
        </w:rPr>
        <w:t>;</w:t>
      </w:r>
    </w:p>
    <w:p w14:paraId="63FF77B2" w14:textId="77777777" w:rsidR="00414058" w:rsidRPr="00AE7AC7" w:rsidRDefault="00414058" w:rsidP="00414058">
      <w:pPr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lastRenderedPageBreak/>
        <w:t>в) существующие трансформаторные подстанции, проектный номинальный класс напряжени</w:t>
      </w:r>
      <w:r>
        <w:rPr>
          <w:sz w:val="28"/>
          <w:szCs w:val="28"/>
        </w:rPr>
        <w:t>я</w:t>
      </w:r>
      <w:r w:rsidRPr="00AE7AC7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AE7AC7">
        <w:rPr>
          <w:sz w:val="28"/>
          <w:szCs w:val="28"/>
        </w:rPr>
        <w:t xml:space="preserve"> 10 </w:t>
      </w:r>
      <w:proofErr w:type="spellStart"/>
      <w:r w:rsidRPr="00AE7AC7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AE7AC7">
        <w:rPr>
          <w:sz w:val="28"/>
          <w:szCs w:val="28"/>
        </w:rPr>
        <w:t>;</w:t>
      </w:r>
    </w:p>
    <w:p w14:paraId="5A9FDC07" w14:textId="77777777" w:rsidR="00414058" w:rsidRPr="00AE7AC7" w:rsidRDefault="00414058" w:rsidP="0041405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t>г) планируемые трансформаторные подстанции, проектный номинальный класс напряжени</w:t>
      </w:r>
      <w:r>
        <w:rPr>
          <w:sz w:val="28"/>
          <w:szCs w:val="28"/>
        </w:rPr>
        <w:t>я</w:t>
      </w:r>
      <w:r w:rsidRPr="00AE7AC7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AE7AC7">
        <w:rPr>
          <w:sz w:val="28"/>
          <w:szCs w:val="28"/>
        </w:rPr>
        <w:t xml:space="preserve"> 20 </w:t>
      </w:r>
      <w:proofErr w:type="spellStart"/>
      <w:r w:rsidRPr="00AE7AC7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AE7AC7">
        <w:rPr>
          <w:sz w:val="28"/>
          <w:szCs w:val="28"/>
        </w:rPr>
        <w:t>;</w:t>
      </w:r>
    </w:p>
    <w:p w14:paraId="41C8D5C1" w14:textId="77777777" w:rsidR="00414058" w:rsidRPr="00AE7AC7" w:rsidRDefault="00414058" w:rsidP="00414058">
      <w:pPr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t>д) существующие линии электропередачи, проектный номинальный класс напряжени</w:t>
      </w:r>
      <w:r>
        <w:rPr>
          <w:sz w:val="28"/>
          <w:szCs w:val="28"/>
        </w:rPr>
        <w:t>я</w:t>
      </w:r>
      <w:r w:rsidRPr="00AE7AC7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AE7AC7">
        <w:rPr>
          <w:sz w:val="28"/>
          <w:szCs w:val="28"/>
        </w:rPr>
        <w:t xml:space="preserve"> 6 </w:t>
      </w:r>
      <w:proofErr w:type="spellStart"/>
      <w:r w:rsidRPr="00AE7AC7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AE7AC7">
        <w:rPr>
          <w:sz w:val="28"/>
          <w:szCs w:val="28"/>
        </w:rPr>
        <w:t>;</w:t>
      </w:r>
    </w:p>
    <w:p w14:paraId="50BD2574" w14:textId="77777777" w:rsidR="00414058" w:rsidRPr="00AE7AC7" w:rsidRDefault="00414058" w:rsidP="00414058">
      <w:pPr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t>е) планируемые линии электропередачи, проектный номинальный класс напряжени</w:t>
      </w:r>
      <w:r>
        <w:rPr>
          <w:sz w:val="28"/>
          <w:szCs w:val="28"/>
        </w:rPr>
        <w:t>я</w:t>
      </w:r>
      <w:r w:rsidRPr="00AE7AC7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AE7AC7">
        <w:rPr>
          <w:sz w:val="28"/>
          <w:szCs w:val="28"/>
        </w:rPr>
        <w:t xml:space="preserve"> 20 </w:t>
      </w:r>
      <w:proofErr w:type="spellStart"/>
      <w:r w:rsidRPr="00AE7AC7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AE7AC7">
        <w:rPr>
          <w:sz w:val="28"/>
          <w:szCs w:val="28"/>
        </w:rPr>
        <w:t>;</w:t>
      </w:r>
    </w:p>
    <w:p w14:paraId="0352B2E7" w14:textId="77777777" w:rsidR="00414058" w:rsidRPr="00AE7AC7" w:rsidRDefault="00414058" w:rsidP="00414058">
      <w:pPr>
        <w:ind w:firstLine="709"/>
        <w:jc w:val="both"/>
        <w:rPr>
          <w:sz w:val="28"/>
          <w:szCs w:val="28"/>
        </w:rPr>
      </w:pPr>
      <w:r w:rsidRPr="00AE7AC7">
        <w:rPr>
          <w:sz w:val="28"/>
          <w:szCs w:val="28"/>
        </w:rPr>
        <w:t>ж) котельные</w:t>
      </w:r>
      <w:r>
        <w:rPr>
          <w:sz w:val="28"/>
          <w:szCs w:val="28"/>
        </w:rPr>
        <w:t xml:space="preserve">, </w:t>
      </w:r>
      <w:r w:rsidRPr="00AE7AC7">
        <w:rPr>
          <w:sz w:val="28"/>
          <w:szCs w:val="28"/>
        </w:rPr>
        <w:t>центральные тепловые пункты</w:t>
      </w:r>
      <w:r>
        <w:rPr>
          <w:sz w:val="28"/>
          <w:szCs w:val="28"/>
        </w:rPr>
        <w:t xml:space="preserve">, </w:t>
      </w:r>
      <w:r w:rsidRPr="00AE7AC7">
        <w:rPr>
          <w:sz w:val="28"/>
          <w:szCs w:val="28"/>
        </w:rPr>
        <w:t>тепловые перекачивающие насосные станции</w:t>
      </w:r>
      <w:r>
        <w:rPr>
          <w:sz w:val="28"/>
          <w:szCs w:val="28"/>
        </w:rPr>
        <w:t xml:space="preserve">, </w:t>
      </w:r>
      <w:r w:rsidRPr="00AE7AC7">
        <w:rPr>
          <w:sz w:val="28"/>
          <w:szCs w:val="28"/>
        </w:rPr>
        <w:t>магистральные теплопроводы;</w:t>
      </w:r>
    </w:p>
    <w:p w14:paraId="16A600A4" w14:textId="77777777" w:rsidR="00414058" w:rsidRPr="00CF7884" w:rsidRDefault="00414058" w:rsidP="00414058">
      <w:pPr>
        <w:ind w:firstLine="709"/>
        <w:jc w:val="both"/>
        <w:rPr>
          <w:bCs/>
          <w:sz w:val="28"/>
          <w:szCs w:val="28"/>
        </w:rPr>
      </w:pPr>
      <w:r w:rsidRPr="00CF7884">
        <w:rPr>
          <w:bCs/>
          <w:sz w:val="28"/>
          <w:szCs w:val="28"/>
        </w:rPr>
        <w:t>з) компрессорные станции, газораспределительные станции, станции подземного хранения газа, газонаполнительные станции, газонаполнительные пункты;</w:t>
      </w:r>
    </w:p>
    <w:p w14:paraId="79735A4F" w14:textId="77777777" w:rsidR="00414058" w:rsidRPr="00CF7884" w:rsidRDefault="00414058" w:rsidP="00414058">
      <w:pPr>
        <w:ind w:firstLine="709"/>
        <w:jc w:val="both"/>
        <w:rPr>
          <w:bCs/>
          <w:sz w:val="28"/>
          <w:szCs w:val="28"/>
        </w:rPr>
      </w:pPr>
      <w:r w:rsidRPr="00CF7884">
        <w:rPr>
          <w:bCs/>
          <w:sz w:val="28"/>
          <w:szCs w:val="28"/>
        </w:rPr>
        <w:t xml:space="preserve">и) существующие объекты, предназначенные для транспортировки природного газа под давлением свыше 0,005 </w:t>
      </w:r>
      <w:proofErr w:type="spellStart"/>
      <w:r w:rsidRPr="00CF7884">
        <w:rPr>
          <w:bCs/>
          <w:sz w:val="28"/>
          <w:szCs w:val="28"/>
        </w:rPr>
        <w:t>мегапаскаля</w:t>
      </w:r>
      <w:proofErr w:type="spellEnd"/>
      <w:r>
        <w:rPr>
          <w:bCs/>
          <w:sz w:val="28"/>
          <w:szCs w:val="28"/>
        </w:rPr>
        <w:t>,</w:t>
      </w:r>
      <w:r w:rsidRPr="00CF7884">
        <w:rPr>
          <w:bCs/>
          <w:sz w:val="28"/>
          <w:szCs w:val="28"/>
        </w:rPr>
        <w:t xml:space="preserve"> и сооружения на них;</w:t>
      </w:r>
    </w:p>
    <w:p w14:paraId="595C8B86" w14:textId="77777777" w:rsidR="00414058" w:rsidRPr="00CF7884" w:rsidRDefault="00414058" w:rsidP="00414058">
      <w:pPr>
        <w:ind w:firstLine="709"/>
        <w:jc w:val="both"/>
        <w:rPr>
          <w:bCs/>
          <w:sz w:val="28"/>
          <w:szCs w:val="28"/>
        </w:rPr>
      </w:pPr>
      <w:r w:rsidRPr="00CF7884">
        <w:rPr>
          <w:bCs/>
          <w:sz w:val="28"/>
          <w:szCs w:val="28"/>
        </w:rPr>
        <w:t xml:space="preserve">к) планируемые объекты, предназначенные для транспортировки природного газа под давлением свыше 0,3 </w:t>
      </w:r>
      <w:proofErr w:type="spellStart"/>
      <w:r w:rsidRPr="00CF7884">
        <w:rPr>
          <w:bCs/>
          <w:sz w:val="28"/>
          <w:szCs w:val="28"/>
        </w:rPr>
        <w:t>мегапаскаля</w:t>
      </w:r>
      <w:proofErr w:type="spellEnd"/>
      <w:r>
        <w:rPr>
          <w:bCs/>
          <w:sz w:val="28"/>
          <w:szCs w:val="28"/>
        </w:rPr>
        <w:t>,</w:t>
      </w:r>
      <w:r w:rsidRPr="00CF7884">
        <w:rPr>
          <w:bCs/>
          <w:sz w:val="28"/>
          <w:szCs w:val="28"/>
        </w:rPr>
        <w:t xml:space="preserve"> и сооружения на них;</w:t>
      </w:r>
    </w:p>
    <w:p w14:paraId="4E617336" w14:textId="77777777" w:rsidR="00414058" w:rsidRPr="00B24A08" w:rsidRDefault="00414058" w:rsidP="00414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B24A08">
        <w:rPr>
          <w:sz w:val="28"/>
          <w:szCs w:val="28"/>
        </w:rPr>
        <w:t>) водозаборные сооружения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станции водоподготовки (водопроводные очистные сооружения)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водопроводные насосные станции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резервуары для хранения воды, водонапорные башни, расположенные на территории городского округа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магистральные водопроводы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канализационные очистные сооружения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магистральная канализация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коллекторы сброса очищенных канализационных сточных вод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магистральная ливневая канализация</w:t>
      </w:r>
      <w:r>
        <w:rPr>
          <w:sz w:val="28"/>
          <w:szCs w:val="28"/>
        </w:rPr>
        <w:t>;</w:t>
      </w:r>
    </w:p>
    <w:p w14:paraId="0B8DCF2A" w14:textId="77777777" w:rsidR="00414058" w:rsidRPr="00B24A08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24A08">
        <w:rPr>
          <w:sz w:val="28"/>
          <w:szCs w:val="28"/>
        </w:rPr>
        <w:t xml:space="preserve">) </w:t>
      </w:r>
      <w:proofErr w:type="spellStart"/>
      <w:r w:rsidRPr="00B24A08">
        <w:rPr>
          <w:sz w:val="28"/>
          <w:szCs w:val="28"/>
        </w:rPr>
        <w:t>снегоплавильные</w:t>
      </w:r>
      <w:proofErr w:type="spellEnd"/>
      <w:r w:rsidRPr="00B24A08">
        <w:rPr>
          <w:sz w:val="28"/>
          <w:szCs w:val="28"/>
        </w:rPr>
        <w:t xml:space="preserve">, </w:t>
      </w:r>
      <w:proofErr w:type="spellStart"/>
      <w:r w:rsidRPr="00B24A08">
        <w:rPr>
          <w:sz w:val="28"/>
          <w:szCs w:val="28"/>
        </w:rPr>
        <w:t>снегоприемные</w:t>
      </w:r>
      <w:proofErr w:type="spellEnd"/>
      <w:r w:rsidRPr="00B24A08">
        <w:rPr>
          <w:sz w:val="28"/>
          <w:szCs w:val="28"/>
        </w:rPr>
        <w:t xml:space="preserve"> пункты;</w:t>
      </w:r>
    </w:p>
    <w:p w14:paraId="5A512AFD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24A08">
        <w:rPr>
          <w:sz w:val="28"/>
          <w:szCs w:val="28"/>
        </w:rPr>
        <w:t>) объекты, необходимые для организации снабжения населения топливом;»;</w:t>
      </w:r>
    </w:p>
    <w:p w14:paraId="76EB169B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б) в пункте 5 слова «по сбору (в том числе раздельному сбору)» заменить словами «по накоплению (в том числе раздельному накоплению), сбору»;</w:t>
      </w:r>
    </w:p>
    <w:p w14:paraId="33CF2B53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в) подпункт «е» пункта 6 изложить в следующей редакции:</w:t>
      </w:r>
    </w:p>
    <w:p w14:paraId="2DBDE219" w14:textId="77777777" w:rsidR="00414058" w:rsidRPr="003F76DC" w:rsidRDefault="00414058" w:rsidP="00414058">
      <w:pPr>
        <w:ind w:firstLine="709"/>
        <w:jc w:val="both"/>
        <w:rPr>
          <w:sz w:val="28"/>
          <w:szCs w:val="28"/>
        </w:rPr>
      </w:pPr>
      <w:r w:rsidRPr="00B24A08">
        <w:rPr>
          <w:sz w:val="28"/>
          <w:szCs w:val="28"/>
        </w:rPr>
        <w:t>«е) находящиеся в собственности городского округа объекты культурного наследия (памятники истории и культуры) и их территории; расположенные на территории городского округа объекты культурного наследия (памятники истории и культуры) местного (муниципального) значения и их территории;»;</w:t>
      </w:r>
    </w:p>
    <w:p w14:paraId="6897B5D7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4) в статье 5:</w:t>
      </w:r>
    </w:p>
    <w:p w14:paraId="1F27F45D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а) пункт 1 изложить в следующей редакции:</w:t>
      </w:r>
    </w:p>
    <w:p w14:paraId="5AD665E8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«1) в области электро-, тепло-, газо- и водоснабжения населения, водоотведения:</w:t>
      </w:r>
    </w:p>
    <w:p w14:paraId="6E10521D" w14:textId="77777777" w:rsidR="00414058" w:rsidRPr="00B24A08" w:rsidRDefault="00414058" w:rsidP="00414058">
      <w:pPr>
        <w:ind w:firstLine="709"/>
        <w:jc w:val="both"/>
        <w:rPr>
          <w:sz w:val="28"/>
          <w:szCs w:val="28"/>
        </w:rPr>
      </w:pPr>
      <w:r w:rsidRPr="00B24A08">
        <w:rPr>
          <w:sz w:val="28"/>
          <w:szCs w:val="28"/>
        </w:rPr>
        <w:t>а) существующие подстанции и распределительные пункты, проектный номинальный класс напряжени</w:t>
      </w:r>
      <w:r>
        <w:rPr>
          <w:sz w:val="28"/>
          <w:szCs w:val="28"/>
        </w:rPr>
        <w:t>я</w:t>
      </w:r>
      <w:r w:rsidRPr="00B24A08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B24A08">
        <w:rPr>
          <w:sz w:val="28"/>
          <w:szCs w:val="28"/>
        </w:rPr>
        <w:t xml:space="preserve"> 6 </w:t>
      </w:r>
      <w:proofErr w:type="spellStart"/>
      <w:r w:rsidRPr="00B24A08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B24A08">
        <w:rPr>
          <w:sz w:val="28"/>
          <w:szCs w:val="28"/>
        </w:rPr>
        <w:t>;</w:t>
      </w:r>
    </w:p>
    <w:p w14:paraId="032B24C4" w14:textId="77777777" w:rsidR="00414058" w:rsidRPr="00B24A08" w:rsidRDefault="00414058" w:rsidP="00414058">
      <w:pPr>
        <w:ind w:firstLine="709"/>
        <w:jc w:val="both"/>
        <w:rPr>
          <w:sz w:val="28"/>
          <w:szCs w:val="28"/>
        </w:rPr>
      </w:pPr>
      <w:r w:rsidRPr="00B24A08">
        <w:rPr>
          <w:sz w:val="28"/>
          <w:szCs w:val="28"/>
        </w:rPr>
        <w:t>б) планируемые подстанции и распределительные пункты, проектный номинальный класс напряжени</w:t>
      </w:r>
      <w:r>
        <w:rPr>
          <w:sz w:val="28"/>
          <w:szCs w:val="28"/>
        </w:rPr>
        <w:t>я</w:t>
      </w:r>
      <w:r w:rsidRPr="00B24A08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B24A08">
        <w:rPr>
          <w:sz w:val="28"/>
          <w:szCs w:val="28"/>
        </w:rPr>
        <w:t xml:space="preserve"> 20 </w:t>
      </w:r>
      <w:proofErr w:type="spellStart"/>
      <w:r w:rsidRPr="00B24A08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B24A08">
        <w:rPr>
          <w:sz w:val="28"/>
          <w:szCs w:val="28"/>
        </w:rPr>
        <w:t>;</w:t>
      </w:r>
    </w:p>
    <w:p w14:paraId="292E1AFE" w14:textId="77777777" w:rsidR="00414058" w:rsidRPr="00B24A08" w:rsidRDefault="00414058" w:rsidP="00414058">
      <w:pPr>
        <w:ind w:firstLine="709"/>
        <w:jc w:val="both"/>
        <w:rPr>
          <w:sz w:val="28"/>
          <w:szCs w:val="28"/>
        </w:rPr>
      </w:pPr>
      <w:r w:rsidRPr="00B24A08">
        <w:rPr>
          <w:sz w:val="28"/>
          <w:szCs w:val="28"/>
        </w:rPr>
        <w:lastRenderedPageBreak/>
        <w:t>в) существующие трансформаторные подстанции, проектный номинальный класс напряжени</w:t>
      </w:r>
      <w:r>
        <w:rPr>
          <w:sz w:val="28"/>
          <w:szCs w:val="28"/>
        </w:rPr>
        <w:t>я</w:t>
      </w:r>
      <w:r w:rsidRPr="00B24A08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B24A08">
        <w:rPr>
          <w:sz w:val="28"/>
          <w:szCs w:val="28"/>
        </w:rPr>
        <w:t xml:space="preserve"> 6 </w:t>
      </w:r>
      <w:proofErr w:type="spellStart"/>
      <w:r w:rsidRPr="00B24A08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B24A08">
        <w:rPr>
          <w:sz w:val="28"/>
          <w:szCs w:val="28"/>
        </w:rPr>
        <w:t>;</w:t>
      </w:r>
    </w:p>
    <w:p w14:paraId="68CE470F" w14:textId="77777777" w:rsidR="00414058" w:rsidRPr="00B24A08" w:rsidRDefault="00414058" w:rsidP="00414058">
      <w:pPr>
        <w:ind w:firstLine="709"/>
        <w:jc w:val="both"/>
        <w:rPr>
          <w:sz w:val="28"/>
          <w:szCs w:val="28"/>
        </w:rPr>
      </w:pPr>
      <w:r w:rsidRPr="00B24A08">
        <w:rPr>
          <w:sz w:val="28"/>
          <w:szCs w:val="28"/>
        </w:rPr>
        <w:t>г) планируемые трансформаторные подстанции, проектный номинальный класс напряжени</w:t>
      </w:r>
      <w:r>
        <w:rPr>
          <w:sz w:val="28"/>
          <w:szCs w:val="28"/>
        </w:rPr>
        <w:t>я</w:t>
      </w:r>
      <w:r w:rsidRPr="00B24A08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B24A08">
        <w:rPr>
          <w:sz w:val="28"/>
          <w:szCs w:val="28"/>
        </w:rPr>
        <w:t xml:space="preserve"> 20 </w:t>
      </w:r>
      <w:proofErr w:type="spellStart"/>
      <w:r w:rsidRPr="00B24A08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B24A08">
        <w:rPr>
          <w:sz w:val="28"/>
          <w:szCs w:val="28"/>
        </w:rPr>
        <w:t>;</w:t>
      </w:r>
    </w:p>
    <w:p w14:paraId="4C88F18D" w14:textId="77777777" w:rsidR="00414058" w:rsidRPr="00B24A08" w:rsidRDefault="00414058" w:rsidP="00414058">
      <w:pPr>
        <w:ind w:firstLine="709"/>
        <w:jc w:val="both"/>
        <w:rPr>
          <w:sz w:val="28"/>
          <w:szCs w:val="28"/>
        </w:rPr>
      </w:pPr>
      <w:r w:rsidRPr="00B24A08">
        <w:rPr>
          <w:sz w:val="28"/>
          <w:szCs w:val="28"/>
        </w:rPr>
        <w:t>д) существующие линии электропередачи, проектный номинальный класс напряжени</w:t>
      </w:r>
      <w:r>
        <w:rPr>
          <w:sz w:val="28"/>
          <w:szCs w:val="28"/>
        </w:rPr>
        <w:t>я</w:t>
      </w:r>
      <w:r w:rsidRPr="00B24A08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B24A08">
        <w:rPr>
          <w:sz w:val="28"/>
          <w:szCs w:val="28"/>
        </w:rPr>
        <w:t xml:space="preserve"> 6 </w:t>
      </w:r>
      <w:proofErr w:type="spellStart"/>
      <w:r w:rsidRPr="00B24A08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B24A08">
        <w:rPr>
          <w:sz w:val="28"/>
          <w:szCs w:val="28"/>
        </w:rPr>
        <w:t>;</w:t>
      </w:r>
    </w:p>
    <w:p w14:paraId="3CA785AA" w14:textId="77777777" w:rsidR="00414058" w:rsidRPr="00B24A08" w:rsidRDefault="00414058" w:rsidP="00414058">
      <w:pPr>
        <w:ind w:firstLine="709"/>
        <w:jc w:val="both"/>
        <w:rPr>
          <w:sz w:val="28"/>
          <w:szCs w:val="28"/>
        </w:rPr>
      </w:pPr>
      <w:r w:rsidRPr="00B24A08">
        <w:rPr>
          <w:sz w:val="28"/>
          <w:szCs w:val="28"/>
        </w:rPr>
        <w:t>е) планируемые линии электропередачи, проектный номинальный класс напряжени</w:t>
      </w:r>
      <w:r>
        <w:rPr>
          <w:sz w:val="28"/>
          <w:szCs w:val="28"/>
        </w:rPr>
        <w:t>я</w:t>
      </w:r>
      <w:r w:rsidRPr="00B24A08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>составляет</w:t>
      </w:r>
      <w:r w:rsidRPr="00B24A08">
        <w:rPr>
          <w:sz w:val="28"/>
          <w:szCs w:val="28"/>
        </w:rPr>
        <w:t xml:space="preserve"> 20 </w:t>
      </w:r>
      <w:proofErr w:type="spellStart"/>
      <w:r w:rsidRPr="00B24A08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</w:t>
      </w:r>
      <w:r w:rsidRPr="00B24A08">
        <w:rPr>
          <w:sz w:val="28"/>
          <w:szCs w:val="28"/>
        </w:rPr>
        <w:t>;</w:t>
      </w:r>
    </w:p>
    <w:p w14:paraId="01BFA3A0" w14:textId="77777777" w:rsidR="00414058" w:rsidRPr="00B24A08" w:rsidRDefault="00414058" w:rsidP="00414058">
      <w:pPr>
        <w:ind w:firstLine="709"/>
        <w:jc w:val="both"/>
        <w:rPr>
          <w:sz w:val="28"/>
          <w:szCs w:val="28"/>
        </w:rPr>
      </w:pPr>
      <w:r w:rsidRPr="00B24A08">
        <w:rPr>
          <w:sz w:val="28"/>
          <w:szCs w:val="28"/>
        </w:rPr>
        <w:t>ж) котельные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центральные тепловые пункты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тепловые перекачивающие насосные станции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магистральные теплопроводы;</w:t>
      </w:r>
    </w:p>
    <w:p w14:paraId="2FF4F4F0" w14:textId="77777777" w:rsidR="00414058" w:rsidRPr="00CF7884" w:rsidRDefault="00414058" w:rsidP="004140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884">
        <w:rPr>
          <w:sz w:val="28"/>
          <w:szCs w:val="28"/>
        </w:rPr>
        <w:t>з) газонаполнительные пункты;</w:t>
      </w:r>
    </w:p>
    <w:p w14:paraId="63655D6D" w14:textId="77777777" w:rsidR="00414058" w:rsidRPr="00CF7884" w:rsidRDefault="00414058" w:rsidP="00414058">
      <w:pPr>
        <w:ind w:firstLine="709"/>
        <w:jc w:val="both"/>
        <w:rPr>
          <w:sz w:val="28"/>
          <w:szCs w:val="28"/>
        </w:rPr>
      </w:pPr>
      <w:r w:rsidRPr="00CF7884">
        <w:rPr>
          <w:sz w:val="28"/>
          <w:szCs w:val="28"/>
        </w:rPr>
        <w:t xml:space="preserve">и) существующие объекты, предназначенные для транспортировки природного газа под давлением свыше 0,005 </w:t>
      </w:r>
      <w:proofErr w:type="spellStart"/>
      <w:r w:rsidRPr="00CF7884">
        <w:rPr>
          <w:sz w:val="28"/>
          <w:szCs w:val="28"/>
        </w:rPr>
        <w:t>мегапаскаля</w:t>
      </w:r>
      <w:proofErr w:type="spellEnd"/>
      <w:r>
        <w:rPr>
          <w:sz w:val="28"/>
          <w:szCs w:val="28"/>
        </w:rPr>
        <w:t>,</w:t>
      </w:r>
      <w:r w:rsidRPr="00CF7884">
        <w:rPr>
          <w:sz w:val="28"/>
          <w:szCs w:val="28"/>
        </w:rPr>
        <w:t xml:space="preserve"> и сооружения на них;</w:t>
      </w:r>
    </w:p>
    <w:p w14:paraId="42BDFEF5" w14:textId="77777777" w:rsidR="00414058" w:rsidRPr="00CF7884" w:rsidRDefault="00414058" w:rsidP="00414058">
      <w:pPr>
        <w:ind w:firstLine="709"/>
        <w:jc w:val="both"/>
        <w:rPr>
          <w:sz w:val="28"/>
          <w:szCs w:val="28"/>
        </w:rPr>
      </w:pPr>
      <w:r w:rsidRPr="00CF7884">
        <w:rPr>
          <w:sz w:val="28"/>
          <w:szCs w:val="28"/>
        </w:rPr>
        <w:t xml:space="preserve">к) планируемые объекты, предназначенные для транспортировки природного газа под давлением свыше 0,3 </w:t>
      </w:r>
      <w:proofErr w:type="spellStart"/>
      <w:r w:rsidRPr="00CF7884">
        <w:rPr>
          <w:sz w:val="28"/>
          <w:szCs w:val="28"/>
        </w:rPr>
        <w:t>мегапаскаля</w:t>
      </w:r>
      <w:proofErr w:type="spellEnd"/>
      <w:r>
        <w:rPr>
          <w:sz w:val="28"/>
          <w:szCs w:val="28"/>
        </w:rPr>
        <w:t>,</w:t>
      </w:r>
      <w:r w:rsidRPr="00CF7884">
        <w:rPr>
          <w:sz w:val="28"/>
          <w:szCs w:val="28"/>
        </w:rPr>
        <w:t xml:space="preserve"> и сооружения на них;</w:t>
      </w:r>
    </w:p>
    <w:p w14:paraId="0DEAC71D" w14:textId="77777777" w:rsidR="00414058" w:rsidRPr="00B24A08" w:rsidRDefault="00414058" w:rsidP="00414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B24A08">
        <w:rPr>
          <w:sz w:val="28"/>
          <w:szCs w:val="28"/>
        </w:rPr>
        <w:t>) станции водоподготовки (водопроводные очистные сооружения)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водопроводные насосные станции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 xml:space="preserve">резервуары для хранения воды, водонапорные башни, расположенные на территории </w:t>
      </w:r>
      <w:r>
        <w:rPr>
          <w:sz w:val="28"/>
          <w:szCs w:val="28"/>
        </w:rPr>
        <w:t xml:space="preserve">поселения, </w:t>
      </w:r>
      <w:r w:rsidRPr="00B24A08">
        <w:rPr>
          <w:sz w:val="28"/>
          <w:szCs w:val="28"/>
        </w:rPr>
        <w:t>магистральные водопроводы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канализационные очистные сооружения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магистральная канализация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коллекторы сброса очищенных канализационных сточных вод</w:t>
      </w:r>
      <w:r>
        <w:rPr>
          <w:sz w:val="28"/>
          <w:szCs w:val="28"/>
        </w:rPr>
        <w:t xml:space="preserve">, </w:t>
      </w:r>
      <w:r w:rsidRPr="00B24A08">
        <w:rPr>
          <w:sz w:val="28"/>
          <w:szCs w:val="28"/>
        </w:rPr>
        <w:t>магистральная ливневая канализация;</w:t>
      </w:r>
    </w:p>
    <w:p w14:paraId="02E5494E" w14:textId="77777777" w:rsidR="00414058" w:rsidRPr="00B24A08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24A08">
        <w:rPr>
          <w:sz w:val="28"/>
          <w:szCs w:val="28"/>
        </w:rPr>
        <w:t xml:space="preserve">) </w:t>
      </w:r>
      <w:proofErr w:type="spellStart"/>
      <w:r w:rsidRPr="00B24A08">
        <w:rPr>
          <w:sz w:val="28"/>
          <w:szCs w:val="28"/>
        </w:rPr>
        <w:t>снегоплавильные</w:t>
      </w:r>
      <w:proofErr w:type="spellEnd"/>
      <w:r w:rsidRPr="00B24A08">
        <w:rPr>
          <w:sz w:val="28"/>
          <w:szCs w:val="28"/>
        </w:rPr>
        <w:t xml:space="preserve">, </w:t>
      </w:r>
      <w:proofErr w:type="spellStart"/>
      <w:r w:rsidRPr="00B24A08">
        <w:rPr>
          <w:sz w:val="28"/>
          <w:szCs w:val="28"/>
        </w:rPr>
        <w:t>снегоприемные</w:t>
      </w:r>
      <w:proofErr w:type="spellEnd"/>
      <w:r w:rsidRPr="00B24A08">
        <w:rPr>
          <w:sz w:val="28"/>
          <w:szCs w:val="28"/>
        </w:rPr>
        <w:t xml:space="preserve"> пункты;</w:t>
      </w:r>
    </w:p>
    <w:p w14:paraId="3139D76E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24A08">
        <w:rPr>
          <w:sz w:val="28"/>
          <w:szCs w:val="28"/>
        </w:rPr>
        <w:t>) объекты, необходимые для организации снабжения населения топливом;»;</w:t>
      </w:r>
    </w:p>
    <w:p w14:paraId="130A633E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б) в пункте 4:</w:t>
      </w:r>
    </w:p>
    <w:p w14:paraId="108E088F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в подпункте «б» слова «по сбору (в том числе раздельному сбору)» заменить словами «по накоплению (в том числе раздельному накоплению)»;</w:t>
      </w:r>
    </w:p>
    <w:p w14:paraId="33EB10EB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подпункт «е» изложить в следующей редакции:</w:t>
      </w:r>
    </w:p>
    <w:p w14:paraId="5BF4DF56" w14:textId="77777777" w:rsidR="00414058" w:rsidRPr="003F76DC" w:rsidRDefault="00414058" w:rsidP="00414058">
      <w:pPr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 xml:space="preserve">«е) </w:t>
      </w:r>
      <w:r w:rsidRPr="00B24A08">
        <w:rPr>
          <w:sz w:val="28"/>
          <w:szCs w:val="28"/>
        </w:rPr>
        <w:t>находящиеся в собственности поселения объекты культурного наследия (памятники истории и культуры) и их территории; расположенные на территории поселения объекты культурного наследия (памятники истории и культуры) местного (муниципального) значения и их территории</w:t>
      </w:r>
      <w:r>
        <w:rPr>
          <w:sz w:val="28"/>
          <w:szCs w:val="28"/>
        </w:rPr>
        <w:t>;</w:t>
      </w:r>
      <w:r w:rsidRPr="00B24A08">
        <w:rPr>
          <w:sz w:val="28"/>
          <w:szCs w:val="28"/>
        </w:rPr>
        <w:t>».</w:t>
      </w:r>
    </w:p>
    <w:p w14:paraId="5C28C985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C7E702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Статья 2</w:t>
      </w:r>
    </w:p>
    <w:p w14:paraId="46F5FC96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65E7DD8F" w14:textId="77777777" w:rsidR="00414058" w:rsidRPr="003F76DC" w:rsidRDefault="00414058" w:rsidP="004140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F76DC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0B2B9357" w14:textId="77777777" w:rsidR="00414058" w:rsidRPr="003F76DC" w:rsidRDefault="00414058" w:rsidP="0041405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1C022A9" w14:textId="77777777" w:rsidR="00414058" w:rsidRDefault="00414058" w:rsidP="0041405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2FE6DC2" w14:textId="77777777" w:rsidR="00414058" w:rsidRDefault="00414058" w:rsidP="00414058">
      <w:pPr>
        <w:autoSpaceDE w:val="0"/>
        <w:autoSpaceDN w:val="0"/>
        <w:adjustRightInd w:val="0"/>
        <w:rPr>
          <w:bCs/>
          <w:sz w:val="28"/>
          <w:szCs w:val="28"/>
        </w:rPr>
      </w:pPr>
      <w:r w:rsidRPr="00B24A08">
        <w:rPr>
          <w:bCs/>
          <w:sz w:val="28"/>
          <w:szCs w:val="28"/>
        </w:rPr>
        <w:t xml:space="preserve">Губернатор Тверской области </w:t>
      </w:r>
      <w:r w:rsidRPr="00B24A08">
        <w:rPr>
          <w:bCs/>
          <w:sz w:val="28"/>
          <w:szCs w:val="28"/>
        </w:rPr>
        <w:tab/>
      </w:r>
      <w:r w:rsidRPr="00B24A08">
        <w:rPr>
          <w:bCs/>
          <w:sz w:val="28"/>
          <w:szCs w:val="28"/>
        </w:rPr>
        <w:tab/>
      </w:r>
      <w:r w:rsidRPr="00B24A08">
        <w:rPr>
          <w:bCs/>
          <w:sz w:val="28"/>
          <w:szCs w:val="28"/>
        </w:rPr>
        <w:tab/>
      </w:r>
      <w:r w:rsidRPr="00B24A08">
        <w:rPr>
          <w:bCs/>
          <w:sz w:val="28"/>
          <w:szCs w:val="28"/>
        </w:rPr>
        <w:tab/>
      </w:r>
      <w:r w:rsidRPr="00B24A08">
        <w:rPr>
          <w:bCs/>
          <w:sz w:val="28"/>
          <w:szCs w:val="28"/>
        </w:rPr>
        <w:tab/>
        <w:t xml:space="preserve">         И.М. Руденя</w:t>
      </w:r>
    </w:p>
    <w:p w14:paraId="55C58670" w14:textId="77777777" w:rsidR="00414058" w:rsidRDefault="00414058" w:rsidP="0041405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5C36429" w14:textId="77777777" w:rsidR="00414058" w:rsidRDefault="00414058" w:rsidP="0041405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14:paraId="7D2A6871" w14:textId="77777777" w:rsidR="00DC091C" w:rsidRPr="00DC091C" w:rsidRDefault="00DC091C" w:rsidP="00DC091C">
      <w:pPr>
        <w:jc w:val="both"/>
        <w:rPr>
          <w:sz w:val="28"/>
          <w:szCs w:val="28"/>
        </w:rPr>
      </w:pPr>
      <w:r w:rsidRPr="00DC091C">
        <w:rPr>
          <w:sz w:val="28"/>
          <w:szCs w:val="28"/>
        </w:rPr>
        <w:t>25 декабря 2019 года</w:t>
      </w:r>
    </w:p>
    <w:p w14:paraId="08388B48" w14:textId="61B724C4" w:rsidR="009B23EC" w:rsidRPr="007E6FB4" w:rsidRDefault="00DC091C" w:rsidP="00C42FFE">
      <w:pPr>
        <w:jc w:val="both"/>
        <w:rPr>
          <w:bCs/>
          <w:sz w:val="16"/>
          <w:szCs w:val="16"/>
        </w:rPr>
      </w:pPr>
      <w:r w:rsidRPr="00DC091C">
        <w:rPr>
          <w:sz w:val="28"/>
          <w:szCs w:val="28"/>
        </w:rPr>
        <w:t>№ 101-ЗО</w:t>
      </w:r>
      <w:bookmarkStart w:id="1" w:name="_GoBack"/>
      <w:bookmarkEnd w:id="1"/>
    </w:p>
    <w:sectPr w:rsidR="009B23EC" w:rsidRPr="007E6FB4" w:rsidSect="002D5F60">
      <w:headerReference w:type="default" r:id="rId14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BADE9" w14:textId="77777777" w:rsidR="00C857BE" w:rsidRDefault="00C857BE" w:rsidP="00C96E87">
      <w:r>
        <w:separator/>
      </w:r>
    </w:p>
  </w:endnote>
  <w:endnote w:type="continuationSeparator" w:id="0">
    <w:p w14:paraId="67F491EA" w14:textId="77777777" w:rsidR="00C857BE" w:rsidRDefault="00C857BE" w:rsidP="00C9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24517" w14:textId="77777777" w:rsidR="00C857BE" w:rsidRDefault="00C857BE" w:rsidP="00C96E87">
      <w:r>
        <w:separator/>
      </w:r>
    </w:p>
  </w:footnote>
  <w:footnote w:type="continuationSeparator" w:id="0">
    <w:p w14:paraId="6E9D3A0E" w14:textId="77777777" w:rsidR="00C857BE" w:rsidRDefault="00C857BE" w:rsidP="00C96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115535"/>
    </w:sdtPr>
    <w:sdtEndPr>
      <w:rPr>
        <w:sz w:val="28"/>
        <w:szCs w:val="28"/>
      </w:rPr>
    </w:sdtEndPr>
    <w:sdtContent>
      <w:p w14:paraId="794B988B" w14:textId="091067E3" w:rsidR="00C96E87" w:rsidRPr="002054FE" w:rsidRDefault="0040586F" w:rsidP="002D5F60">
        <w:pPr>
          <w:pStyle w:val="a4"/>
          <w:jc w:val="right"/>
          <w:rPr>
            <w:sz w:val="28"/>
            <w:szCs w:val="28"/>
          </w:rPr>
        </w:pPr>
        <w:r w:rsidRPr="002054FE">
          <w:rPr>
            <w:sz w:val="28"/>
            <w:szCs w:val="28"/>
          </w:rPr>
          <w:fldChar w:fldCharType="begin"/>
        </w:r>
        <w:r w:rsidR="00C96E87" w:rsidRPr="002054FE">
          <w:rPr>
            <w:sz w:val="28"/>
            <w:szCs w:val="28"/>
          </w:rPr>
          <w:instrText>PAGE   \* MERGEFORMAT</w:instrText>
        </w:r>
        <w:r w:rsidRPr="002054FE">
          <w:rPr>
            <w:sz w:val="28"/>
            <w:szCs w:val="28"/>
          </w:rPr>
          <w:fldChar w:fldCharType="separate"/>
        </w:r>
        <w:r w:rsidR="00C42FFE">
          <w:rPr>
            <w:noProof/>
            <w:sz w:val="28"/>
            <w:szCs w:val="28"/>
          </w:rPr>
          <w:t>4</w:t>
        </w:r>
        <w:r w:rsidRPr="002054FE">
          <w:rPr>
            <w:sz w:val="28"/>
            <w:szCs w:val="28"/>
          </w:rPr>
          <w:fldChar w:fldCharType="end"/>
        </w:r>
      </w:p>
    </w:sdtContent>
  </w:sdt>
  <w:p w14:paraId="642811F1" w14:textId="77777777" w:rsidR="00C96E87" w:rsidRDefault="00C96E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30C8"/>
    <w:multiLevelType w:val="hybridMultilevel"/>
    <w:tmpl w:val="D7C4F6BE"/>
    <w:lvl w:ilvl="0" w:tplc="07F6A69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C3"/>
    <w:rsid w:val="00010878"/>
    <w:rsid w:val="000370D4"/>
    <w:rsid w:val="000974E8"/>
    <w:rsid w:val="000B1FFB"/>
    <w:rsid w:val="000D4798"/>
    <w:rsid w:val="000D5ADF"/>
    <w:rsid w:val="000E4D48"/>
    <w:rsid w:val="000E60DC"/>
    <w:rsid w:val="00105CA5"/>
    <w:rsid w:val="00135FF0"/>
    <w:rsid w:val="00175315"/>
    <w:rsid w:val="001C0CEA"/>
    <w:rsid w:val="001C2043"/>
    <w:rsid w:val="001C558E"/>
    <w:rsid w:val="002054FE"/>
    <w:rsid w:val="00266CBA"/>
    <w:rsid w:val="0027766B"/>
    <w:rsid w:val="00292A55"/>
    <w:rsid w:val="002A28C7"/>
    <w:rsid w:val="002A38E4"/>
    <w:rsid w:val="002A70BF"/>
    <w:rsid w:val="002D5F60"/>
    <w:rsid w:val="0032107C"/>
    <w:rsid w:val="003338FE"/>
    <w:rsid w:val="00341541"/>
    <w:rsid w:val="0034159C"/>
    <w:rsid w:val="0035156F"/>
    <w:rsid w:val="00370BC1"/>
    <w:rsid w:val="00384F88"/>
    <w:rsid w:val="003914F9"/>
    <w:rsid w:val="003D5861"/>
    <w:rsid w:val="003E3126"/>
    <w:rsid w:val="003F05BD"/>
    <w:rsid w:val="003F76DC"/>
    <w:rsid w:val="0040586F"/>
    <w:rsid w:val="00414058"/>
    <w:rsid w:val="0042467C"/>
    <w:rsid w:val="004364A6"/>
    <w:rsid w:val="004402C5"/>
    <w:rsid w:val="00464FB6"/>
    <w:rsid w:val="00472C6F"/>
    <w:rsid w:val="00481546"/>
    <w:rsid w:val="004914FF"/>
    <w:rsid w:val="0049486B"/>
    <w:rsid w:val="004A1E7D"/>
    <w:rsid w:val="004B1B07"/>
    <w:rsid w:val="005005B3"/>
    <w:rsid w:val="0050172C"/>
    <w:rsid w:val="00506244"/>
    <w:rsid w:val="00514CF3"/>
    <w:rsid w:val="005327ED"/>
    <w:rsid w:val="00534955"/>
    <w:rsid w:val="00546BB3"/>
    <w:rsid w:val="005479F2"/>
    <w:rsid w:val="0059548C"/>
    <w:rsid w:val="005A04CA"/>
    <w:rsid w:val="005A487B"/>
    <w:rsid w:val="005B1CFD"/>
    <w:rsid w:val="005B72B8"/>
    <w:rsid w:val="005C44FC"/>
    <w:rsid w:val="005D3AFB"/>
    <w:rsid w:val="005E6B5F"/>
    <w:rsid w:val="005F07F9"/>
    <w:rsid w:val="006026E3"/>
    <w:rsid w:val="00631513"/>
    <w:rsid w:val="00635E11"/>
    <w:rsid w:val="00652C8A"/>
    <w:rsid w:val="00652FDC"/>
    <w:rsid w:val="00684878"/>
    <w:rsid w:val="00687631"/>
    <w:rsid w:val="006C3326"/>
    <w:rsid w:val="006C7141"/>
    <w:rsid w:val="006D5472"/>
    <w:rsid w:val="006E011C"/>
    <w:rsid w:val="006F0DE4"/>
    <w:rsid w:val="007114AE"/>
    <w:rsid w:val="00752C41"/>
    <w:rsid w:val="00754799"/>
    <w:rsid w:val="007653AB"/>
    <w:rsid w:val="007904E5"/>
    <w:rsid w:val="007C0D1A"/>
    <w:rsid w:val="007E6FB4"/>
    <w:rsid w:val="007F1421"/>
    <w:rsid w:val="007F1582"/>
    <w:rsid w:val="007F78BF"/>
    <w:rsid w:val="00814632"/>
    <w:rsid w:val="00824D77"/>
    <w:rsid w:val="00847B71"/>
    <w:rsid w:val="00863DDE"/>
    <w:rsid w:val="008A694C"/>
    <w:rsid w:val="008F2A10"/>
    <w:rsid w:val="00901C0E"/>
    <w:rsid w:val="00947A6C"/>
    <w:rsid w:val="00983C62"/>
    <w:rsid w:val="0098717E"/>
    <w:rsid w:val="009A5E95"/>
    <w:rsid w:val="009B23EC"/>
    <w:rsid w:val="009B703A"/>
    <w:rsid w:val="009C14AD"/>
    <w:rsid w:val="009C5552"/>
    <w:rsid w:val="009D2189"/>
    <w:rsid w:val="009D3BCD"/>
    <w:rsid w:val="009F58AD"/>
    <w:rsid w:val="00A013D9"/>
    <w:rsid w:val="00A11913"/>
    <w:rsid w:val="00A5072E"/>
    <w:rsid w:val="00A52C32"/>
    <w:rsid w:val="00A87C33"/>
    <w:rsid w:val="00AB61C3"/>
    <w:rsid w:val="00AC4DFC"/>
    <w:rsid w:val="00AE7AC7"/>
    <w:rsid w:val="00AF177D"/>
    <w:rsid w:val="00B05619"/>
    <w:rsid w:val="00B24A08"/>
    <w:rsid w:val="00B44177"/>
    <w:rsid w:val="00B54BF0"/>
    <w:rsid w:val="00B701DA"/>
    <w:rsid w:val="00B8636E"/>
    <w:rsid w:val="00BA740F"/>
    <w:rsid w:val="00BC5E97"/>
    <w:rsid w:val="00BE0CCB"/>
    <w:rsid w:val="00BF199C"/>
    <w:rsid w:val="00BF54BF"/>
    <w:rsid w:val="00C0471A"/>
    <w:rsid w:val="00C24077"/>
    <w:rsid w:val="00C3339F"/>
    <w:rsid w:val="00C42FFE"/>
    <w:rsid w:val="00C50655"/>
    <w:rsid w:val="00C550D7"/>
    <w:rsid w:val="00C656E1"/>
    <w:rsid w:val="00C72DFF"/>
    <w:rsid w:val="00C857BE"/>
    <w:rsid w:val="00C85D90"/>
    <w:rsid w:val="00C96E87"/>
    <w:rsid w:val="00CA3C53"/>
    <w:rsid w:val="00CE2454"/>
    <w:rsid w:val="00CE3216"/>
    <w:rsid w:val="00CF7884"/>
    <w:rsid w:val="00D04271"/>
    <w:rsid w:val="00D1279F"/>
    <w:rsid w:val="00D64491"/>
    <w:rsid w:val="00D67B91"/>
    <w:rsid w:val="00DB3C3C"/>
    <w:rsid w:val="00DC091C"/>
    <w:rsid w:val="00DC0B15"/>
    <w:rsid w:val="00DC304F"/>
    <w:rsid w:val="00DD11D3"/>
    <w:rsid w:val="00E310F1"/>
    <w:rsid w:val="00E47A83"/>
    <w:rsid w:val="00E55FEF"/>
    <w:rsid w:val="00E60178"/>
    <w:rsid w:val="00E63690"/>
    <w:rsid w:val="00E82FE7"/>
    <w:rsid w:val="00EA7B3F"/>
    <w:rsid w:val="00EB0E44"/>
    <w:rsid w:val="00ED6D47"/>
    <w:rsid w:val="00F0099B"/>
    <w:rsid w:val="00F20CCB"/>
    <w:rsid w:val="00F97131"/>
    <w:rsid w:val="00FA69F4"/>
    <w:rsid w:val="00FB1C50"/>
    <w:rsid w:val="00FB7FB4"/>
    <w:rsid w:val="00FD7938"/>
    <w:rsid w:val="00FE217D"/>
    <w:rsid w:val="00FF5A18"/>
    <w:rsid w:val="00FF638F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E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1C3"/>
    <w:pPr>
      <w:spacing w:before="100" w:beforeAutospacing="1" w:after="100" w:afterAutospacing="1"/>
    </w:pPr>
  </w:style>
  <w:style w:type="paragraph" w:customStyle="1" w:styleId="ConsPlusNormal">
    <w:name w:val="ConsPlusNormal"/>
    <w:rsid w:val="00AB6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24D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4D7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D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4D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4D7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602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FB7F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1C3"/>
    <w:pPr>
      <w:spacing w:before="100" w:beforeAutospacing="1" w:after="100" w:afterAutospacing="1"/>
    </w:pPr>
  </w:style>
  <w:style w:type="paragraph" w:customStyle="1" w:styleId="ConsPlusNormal">
    <w:name w:val="ConsPlusNormal"/>
    <w:rsid w:val="00AB6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24D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4D7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D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4D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4D7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602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FB7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7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0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64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3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3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2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2C0210F88F898BB48566D6F1510EE459B23BC933C23F3EC5D02DD3F9474994630EAC8855662A72C919347FF0DDD5D1CD4BD164EF15DFB8aAf5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2C0210F88F898BB48566D6F1510EE459B23BC933C23F3EC5D02DD3F9474994630EAC8855662A7DC119347FF0DDD5D1CD4BD164EF15DFB8aAf5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2C0210F88F898BB48566D6F1510EE459B23BC933C23F3EC5D02DD3F9474994630EAC8855662A7DCF19347FF0DDD5D1CD4BD164EF15DFB8aAf5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E1EE417BB4875B23D4191D3830A39BB85CA2DBF29061F7418FEB7E057905E3442708C88948BD39D34B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9873C-4A94-48B5-8F0E-B592EBBE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 Марина Фёдоровна</dc:creator>
  <cp:lastModifiedBy>Игорь С. Власов</cp:lastModifiedBy>
  <cp:revision>11</cp:revision>
  <cp:lastPrinted>2019-12-27T17:12:00Z</cp:lastPrinted>
  <dcterms:created xsi:type="dcterms:W3CDTF">2019-12-17T07:34:00Z</dcterms:created>
  <dcterms:modified xsi:type="dcterms:W3CDTF">2020-01-10T08:32:00Z</dcterms:modified>
</cp:coreProperties>
</file>