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E0" w:rsidRPr="003E7EAD" w:rsidRDefault="007B182B" w:rsidP="000C09D6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5pt;visibility:visible">
            <v:imagedata r:id="rId8" o:title=""/>
          </v:shape>
        </w:pict>
      </w:r>
    </w:p>
    <w:p w:rsidR="00FB03E0" w:rsidRPr="000C09D6" w:rsidRDefault="00FB03E0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FB03E0" w:rsidRPr="003E7EAD" w:rsidRDefault="00FB03E0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:rsidR="00FB03E0" w:rsidRPr="003E7EAD" w:rsidRDefault="00FB03E0" w:rsidP="003E7EAD">
      <w:pPr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:rsidR="00FA714A" w:rsidRPr="00A440A9" w:rsidRDefault="004006D5" w:rsidP="004006D5">
      <w:pPr>
        <w:rPr>
          <w:sz w:val="28"/>
          <w:szCs w:val="28"/>
        </w:rPr>
      </w:pPr>
      <w:r w:rsidRPr="00A440A9">
        <w:rPr>
          <w:sz w:val="28"/>
          <w:szCs w:val="28"/>
        </w:rPr>
        <w:t xml:space="preserve"> </w:t>
      </w:r>
    </w:p>
    <w:p w:rsidR="007A776A" w:rsidRPr="00A440A9" w:rsidRDefault="004A1D6F" w:rsidP="004006D5">
      <w:pPr>
        <w:jc w:val="center"/>
        <w:rPr>
          <w:b/>
          <w:sz w:val="28"/>
          <w:szCs w:val="28"/>
        </w:rPr>
      </w:pPr>
      <w:r w:rsidRPr="00A440A9">
        <w:rPr>
          <w:b/>
          <w:sz w:val="28"/>
          <w:szCs w:val="28"/>
        </w:rPr>
        <w:t>Об установлении порядка определения органами м</w:t>
      </w:r>
      <w:r w:rsidR="00190F97" w:rsidRPr="00A440A9">
        <w:rPr>
          <w:b/>
          <w:sz w:val="28"/>
          <w:szCs w:val="28"/>
        </w:rPr>
        <w:t xml:space="preserve">естного </w:t>
      </w:r>
      <w:r w:rsidRPr="00A440A9">
        <w:rPr>
          <w:b/>
          <w:sz w:val="28"/>
          <w:szCs w:val="28"/>
        </w:rPr>
        <w:t>самоуправления муниципальных образований Тверской области границ прилегающих территорий</w:t>
      </w:r>
    </w:p>
    <w:p w:rsidR="00BF6577" w:rsidRDefault="00190F97" w:rsidP="00BF657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A440A9">
        <w:rPr>
          <w:b/>
          <w:sz w:val="28"/>
          <w:szCs w:val="28"/>
        </w:rPr>
        <w:tab/>
      </w:r>
    </w:p>
    <w:p w:rsidR="00FB03E0" w:rsidRPr="00C5284F" w:rsidRDefault="00FB03E0" w:rsidP="00C5284F">
      <w:pPr>
        <w:ind w:left="4536"/>
        <w:jc w:val="right"/>
        <w:rPr>
          <w:sz w:val="28"/>
          <w:szCs w:val="28"/>
        </w:rPr>
      </w:pPr>
      <w:r w:rsidRPr="00C5284F">
        <w:rPr>
          <w:sz w:val="28"/>
          <w:szCs w:val="28"/>
        </w:rPr>
        <w:t>Принят Законодательным Собранием Тверской области 24 января 2019 года</w:t>
      </w:r>
    </w:p>
    <w:p w:rsidR="00FB03E0" w:rsidRDefault="00FB03E0" w:rsidP="00BF657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02177" w:rsidRDefault="00D02177" w:rsidP="006407F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1. Предмет правового регулирования настоящего закона</w:t>
      </w:r>
    </w:p>
    <w:p w:rsidR="00D02177" w:rsidRDefault="00D02177" w:rsidP="006407FB">
      <w:pPr>
        <w:ind w:firstLine="709"/>
        <w:jc w:val="both"/>
        <w:rPr>
          <w:sz w:val="28"/>
          <w:szCs w:val="28"/>
        </w:rPr>
      </w:pPr>
    </w:p>
    <w:p w:rsidR="00D02177" w:rsidRPr="00A440A9" w:rsidRDefault="00D02177" w:rsidP="006407FB">
      <w:pPr>
        <w:ind w:firstLine="709"/>
        <w:jc w:val="both"/>
        <w:rPr>
          <w:sz w:val="28"/>
          <w:szCs w:val="28"/>
        </w:rPr>
      </w:pPr>
      <w:r w:rsidRPr="00A440A9">
        <w:rPr>
          <w:sz w:val="28"/>
          <w:szCs w:val="28"/>
        </w:rPr>
        <w:t xml:space="preserve">Настоящий закон в </w:t>
      </w:r>
      <w:r>
        <w:rPr>
          <w:sz w:val="28"/>
          <w:szCs w:val="28"/>
        </w:rPr>
        <w:t>соответствии с пунктом</w:t>
      </w:r>
      <w:r w:rsidRPr="00A440A9">
        <w:rPr>
          <w:sz w:val="28"/>
          <w:szCs w:val="28"/>
        </w:rPr>
        <w:t xml:space="preserve"> 14 части 2 статьи 45.1 Федерального закона от 06.10.2003 № 131-ФЗ «Об общих принципах организации местного самоуправления  в Российской Федерации»</w:t>
      </w:r>
      <w:r>
        <w:rPr>
          <w:sz w:val="28"/>
          <w:szCs w:val="28"/>
        </w:rPr>
        <w:t xml:space="preserve">, </w:t>
      </w:r>
      <w:r w:rsidRPr="00EC4BAE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ом</w:t>
      </w:r>
      <w:r w:rsidRPr="00EC4BAE">
        <w:rPr>
          <w:rFonts w:eastAsia="Calibri"/>
          <w:sz w:val="28"/>
          <w:szCs w:val="28"/>
          <w:lang w:eastAsia="en-US"/>
        </w:rPr>
        <w:t xml:space="preserve"> 37 статьи 1 Градостроительного кодекса Российской Федерации</w:t>
      </w:r>
      <w:r w:rsidRPr="00A440A9">
        <w:rPr>
          <w:rFonts w:eastAsia="Calibri"/>
          <w:i/>
          <w:sz w:val="28"/>
          <w:szCs w:val="28"/>
          <w:lang w:eastAsia="en-US"/>
        </w:rPr>
        <w:t xml:space="preserve"> </w:t>
      </w:r>
      <w:r w:rsidRPr="00A440A9">
        <w:rPr>
          <w:sz w:val="28"/>
          <w:szCs w:val="28"/>
        </w:rPr>
        <w:t>устанавливает порядок определения органами местного самоуправления муниципальных образований Тверской области границ прилегающих территорий</w:t>
      </w:r>
      <w:r>
        <w:rPr>
          <w:sz w:val="28"/>
          <w:szCs w:val="28"/>
        </w:rPr>
        <w:t xml:space="preserve"> для целей благоустройства (за исключением многоквартирных домов, земельные участки под которыми не образованы или образованы по границам таких домов)</w:t>
      </w:r>
      <w:r w:rsidRPr="00A440A9">
        <w:rPr>
          <w:sz w:val="28"/>
          <w:szCs w:val="28"/>
        </w:rPr>
        <w:t>.</w:t>
      </w:r>
    </w:p>
    <w:p w:rsidR="00D02177" w:rsidRDefault="00D02177" w:rsidP="006407FB">
      <w:pPr>
        <w:ind w:firstLine="709"/>
        <w:rPr>
          <w:rFonts w:eastAsiaTheme="minorHAnsi"/>
          <w:sz w:val="28"/>
          <w:szCs w:val="28"/>
          <w:lang w:eastAsia="en-US"/>
        </w:rPr>
      </w:pPr>
      <w:r w:rsidRPr="00A440A9">
        <w:rPr>
          <w:b/>
          <w:sz w:val="28"/>
          <w:szCs w:val="28"/>
        </w:rPr>
        <w:tab/>
      </w:r>
    </w:p>
    <w:p w:rsidR="00D02177" w:rsidRPr="00EC4BAE" w:rsidRDefault="00D02177" w:rsidP="006407F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EC4BAE">
        <w:rPr>
          <w:rFonts w:eastAsiaTheme="minorHAnsi"/>
          <w:b/>
          <w:bCs/>
          <w:sz w:val="28"/>
          <w:szCs w:val="28"/>
          <w:lang w:eastAsia="en-US"/>
        </w:rPr>
        <w:t>Статья 2. Понятия и тер</w:t>
      </w:r>
      <w:r>
        <w:rPr>
          <w:rFonts w:eastAsiaTheme="minorHAnsi"/>
          <w:b/>
          <w:bCs/>
          <w:sz w:val="28"/>
          <w:szCs w:val="28"/>
          <w:lang w:eastAsia="en-US"/>
        </w:rPr>
        <w:t>мины, используемые в настоящем з</w:t>
      </w:r>
      <w:r w:rsidRPr="00EC4BAE">
        <w:rPr>
          <w:rFonts w:eastAsiaTheme="minorHAnsi"/>
          <w:b/>
          <w:bCs/>
          <w:sz w:val="28"/>
          <w:szCs w:val="28"/>
          <w:lang w:eastAsia="en-US"/>
        </w:rPr>
        <w:t>аконе</w:t>
      </w:r>
    </w:p>
    <w:p w:rsidR="00D02177" w:rsidRPr="00EC4BAE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2177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5466">
        <w:rPr>
          <w:rFonts w:eastAsiaTheme="minorHAnsi"/>
          <w:sz w:val="28"/>
          <w:szCs w:val="28"/>
          <w:lang w:eastAsia="en-US"/>
        </w:rPr>
        <w:t xml:space="preserve">1. Для целей настоящего закона </w:t>
      </w:r>
      <w:r>
        <w:rPr>
          <w:rFonts w:eastAsiaTheme="minorHAnsi"/>
          <w:sz w:val="28"/>
          <w:szCs w:val="28"/>
          <w:lang w:eastAsia="en-US"/>
        </w:rPr>
        <w:t>используются следующие основные понятия:</w:t>
      </w:r>
    </w:p>
    <w:p w:rsidR="00D02177" w:rsidRDefault="00D02177" w:rsidP="006407FB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C65466">
        <w:rPr>
          <w:rFonts w:eastAsiaTheme="minorHAnsi"/>
          <w:sz w:val="28"/>
          <w:szCs w:val="28"/>
          <w:lang w:eastAsia="en-US"/>
        </w:rPr>
        <w:t>территори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C65466">
        <w:rPr>
          <w:spacing w:val="2"/>
          <w:sz w:val="28"/>
          <w:szCs w:val="28"/>
        </w:rPr>
        <w:t>юридического лица</w:t>
      </w:r>
      <w:r>
        <w:rPr>
          <w:spacing w:val="2"/>
          <w:sz w:val="28"/>
          <w:szCs w:val="28"/>
        </w:rPr>
        <w:t xml:space="preserve"> </w:t>
      </w:r>
      <w:r w:rsidRPr="00D02177">
        <w:rPr>
          <w:spacing w:val="2"/>
          <w:sz w:val="28"/>
          <w:szCs w:val="28"/>
        </w:rPr>
        <w:t>или</w:t>
      </w:r>
      <w:r>
        <w:rPr>
          <w:spacing w:val="2"/>
          <w:sz w:val="28"/>
          <w:szCs w:val="28"/>
        </w:rPr>
        <w:t xml:space="preserve"> </w:t>
      </w:r>
      <w:r w:rsidRPr="00C65466">
        <w:rPr>
          <w:spacing w:val="2"/>
          <w:sz w:val="28"/>
          <w:szCs w:val="28"/>
        </w:rPr>
        <w:t>индивидуального предпринимателя</w:t>
      </w:r>
      <w:r>
        <w:rPr>
          <w:spacing w:val="2"/>
          <w:sz w:val="28"/>
          <w:szCs w:val="28"/>
        </w:rPr>
        <w:t xml:space="preserve"> – </w:t>
      </w:r>
      <w:r w:rsidRPr="00C65466">
        <w:rPr>
          <w:spacing w:val="2"/>
          <w:sz w:val="28"/>
          <w:szCs w:val="28"/>
        </w:rPr>
        <w:t>земельный участок, имеющий площадь, границы, местоположение, целевое назначение, находящийся в собственности, владении или пользовании юридического лица или индивидуального предпринимателя</w:t>
      </w:r>
      <w:r>
        <w:rPr>
          <w:spacing w:val="2"/>
          <w:sz w:val="28"/>
          <w:szCs w:val="28"/>
        </w:rPr>
        <w:t>;</w:t>
      </w:r>
    </w:p>
    <w:p w:rsidR="00D02177" w:rsidRPr="00C65466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2) территория домовладения – земельный участок, находящийся в </w:t>
      </w:r>
      <w:r w:rsidRPr="00C65466">
        <w:rPr>
          <w:spacing w:val="2"/>
          <w:sz w:val="28"/>
          <w:szCs w:val="28"/>
        </w:rPr>
        <w:t>собственности, владении или пользовании</w:t>
      </w:r>
      <w:r>
        <w:rPr>
          <w:spacing w:val="2"/>
          <w:sz w:val="28"/>
          <w:szCs w:val="28"/>
        </w:rPr>
        <w:t xml:space="preserve"> физического лица, используемый для эксплуатации домовладения. </w:t>
      </w:r>
    </w:p>
    <w:p w:rsidR="00D02177" w:rsidRPr="00C65466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5466">
        <w:rPr>
          <w:rFonts w:eastAsiaTheme="minorHAnsi"/>
          <w:sz w:val="28"/>
          <w:szCs w:val="28"/>
          <w:lang w:eastAsia="en-US"/>
        </w:rPr>
        <w:t>2. Иные понятия и термины, используемые в настоящем законе, применяются в том значении, в котором они определены законодательством Российской Федерации.</w:t>
      </w:r>
    </w:p>
    <w:p w:rsidR="00D02177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4BAE">
        <w:rPr>
          <w:rFonts w:eastAsiaTheme="minorHAnsi"/>
          <w:sz w:val="28"/>
          <w:szCs w:val="28"/>
          <w:lang w:eastAsia="en-US"/>
        </w:rPr>
        <w:t xml:space="preserve"> </w:t>
      </w:r>
    </w:p>
    <w:p w:rsidR="00D02177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24330">
        <w:rPr>
          <w:rFonts w:eastAsiaTheme="minorHAnsi"/>
          <w:b/>
          <w:sz w:val="28"/>
          <w:szCs w:val="28"/>
          <w:lang w:eastAsia="en-US"/>
        </w:rPr>
        <w:lastRenderedPageBreak/>
        <w:t>Статья 3</w:t>
      </w:r>
      <w:r>
        <w:rPr>
          <w:rFonts w:eastAsiaTheme="minorHAnsi"/>
          <w:b/>
          <w:sz w:val="28"/>
          <w:szCs w:val="28"/>
          <w:lang w:eastAsia="en-US"/>
        </w:rPr>
        <w:t>. Общие требования к определению границ прилегающих территорий</w:t>
      </w:r>
    </w:p>
    <w:p w:rsidR="00D02177" w:rsidRPr="00EC4BAE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2177" w:rsidRPr="00D02177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177">
        <w:rPr>
          <w:rFonts w:eastAsiaTheme="minorHAnsi"/>
          <w:sz w:val="28"/>
          <w:szCs w:val="28"/>
          <w:lang w:eastAsia="en-US"/>
        </w:rPr>
        <w:t xml:space="preserve">1. Границы прилегающих территорий определяются правилами благоустройства территорий муниципальных образований Тверской области в отношении  территорий общего пользования, которые прилегают (имеют общую границу) к зданию, строению, сооружению, земельному участку, с учетом требований настоящего закона. </w:t>
      </w:r>
    </w:p>
    <w:p w:rsidR="00D02177" w:rsidRPr="00B80D09" w:rsidRDefault="00D02177" w:rsidP="00640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bookmarkStart w:id="0" w:name="sub_20"/>
      <w:r>
        <w:rPr>
          <w:rFonts w:eastAsiaTheme="minorHAnsi"/>
          <w:sz w:val="28"/>
          <w:szCs w:val="28"/>
          <w:lang w:eastAsia="en-US"/>
        </w:rPr>
        <w:t xml:space="preserve"> </w:t>
      </w:r>
      <w:r w:rsidRPr="00A440A9">
        <w:rPr>
          <w:sz w:val="28"/>
          <w:szCs w:val="28"/>
        </w:rPr>
        <w:t>Границы прилегающей территории определяются с учетом следующих ограничений и требований:</w:t>
      </w:r>
      <w:bookmarkEnd w:id="0"/>
    </w:p>
    <w:p w:rsidR="00D02177" w:rsidRPr="00A440A9" w:rsidRDefault="00D02177" w:rsidP="006407FB">
      <w:pPr>
        <w:ind w:firstLine="709"/>
        <w:jc w:val="both"/>
        <w:rPr>
          <w:sz w:val="28"/>
          <w:szCs w:val="28"/>
        </w:rPr>
      </w:pPr>
      <w:bookmarkStart w:id="1" w:name="sub_16"/>
      <w:r w:rsidRPr="00A440A9">
        <w:rPr>
          <w:sz w:val="28"/>
          <w:szCs w:val="28"/>
        </w:rPr>
        <w:t xml:space="preserve">1) установление общей прилегающей территории для двух и более зданий, строений, сооружений, земельных участков, за исключением случаев, когда здание, строение, сооружение, в том </w:t>
      </w:r>
      <w:r w:rsidRPr="00FA714A">
        <w:rPr>
          <w:sz w:val="28"/>
          <w:szCs w:val="28"/>
        </w:rPr>
        <w:t>числе объект коммунальной инфраструктуры, земельный участок обеспечивают исключительно функционирование другого здания, строения, сооружения</w:t>
      </w:r>
      <w:r w:rsidRPr="00A440A9">
        <w:rPr>
          <w:sz w:val="28"/>
          <w:szCs w:val="28"/>
        </w:rPr>
        <w:t>, земельного участка, в отношении которого определяются границы прилегающей территории, не допускается;</w:t>
      </w:r>
      <w:bookmarkEnd w:id="1"/>
    </w:p>
    <w:p w:rsidR="00D02177" w:rsidRPr="00A440A9" w:rsidRDefault="00D02177" w:rsidP="00640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A9">
        <w:rPr>
          <w:rFonts w:ascii="Times New Roman" w:hAnsi="Times New Roman" w:cs="Times New Roman"/>
          <w:sz w:val="28"/>
          <w:szCs w:val="28"/>
        </w:rPr>
        <w:t>2) пересечение границ прилегающих территорий не допускается;</w:t>
      </w:r>
    </w:p>
    <w:p w:rsidR="00D02177" w:rsidRPr="00D02177" w:rsidRDefault="00D02177" w:rsidP="006407FB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02177">
        <w:rPr>
          <w:rFonts w:ascii="Times New Roman" w:hAnsi="Times New Roman" w:cs="Times New Roman"/>
          <w:sz w:val="28"/>
          <w:szCs w:val="28"/>
        </w:rPr>
        <w:t>3) п</w:t>
      </w:r>
      <w:r w:rsidRPr="00D02177">
        <w:rPr>
          <w:rFonts w:ascii="Times New Roman" w:hAnsi="Times New Roman" w:cs="Times New Roman"/>
          <w:spacing w:val="2"/>
          <w:sz w:val="28"/>
          <w:szCs w:val="28"/>
        </w:rPr>
        <w:t>ри перекрытии (пересечении) прилегающих территорий их границы  устанавливаются по линии, делящей площадь перекрытия (пересечения) на равные части;</w:t>
      </w:r>
    </w:p>
    <w:p w:rsidR="00D02177" w:rsidRPr="00D02177" w:rsidRDefault="00D02177" w:rsidP="006407FB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02177">
        <w:rPr>
          <w:rFonts w:ascii="Times New Roman" w:hAnsi="Times New Roman" w:cs="Times New Roman"/>
          <w:spacing w:val="2"/>
          <w:sz w:val="28"/>
          <w:szCs w:val="28"/>
        </w:rPr>
        <w:t xml:space="preserve">4) в случае пересечения прилегающей территории с автомобильной дорогой, железнодорожной линией, тротуаром (для территории домовладения) границы прилегающей территории определяются до пересечения с </w:t>
      </w:r>
      <w:r w:rsidR="0041074F" w:rsidRPr="00D02177">
        <w:rPr>
          <w:rFonts w:ascii="Times New Roman" w:hAnsi="Times New Roman" w:cs="Times New Roman"/>
          <w:spacing w:val="2"/>
          <w:sz w:val="28"/>
          <w:szCs w:val="28"/>
        </w:rPr>
        <w:t>автомобильной дорогой, железнодорожной линией</w:t>
      </w:r>
      <w:r w:rsidRPr="00D02177">
        <w:rPr>
          <w:rFonts w:ascii="Times New Roman" w:hAnsi="Times New Roman" w:cs="Times New Roman"/>
          <w:spacing w:val="2"/>
          <w:sz w:val="28"/>
          <w:szCs w:val="28"/>
        </w:rPr>
        <w:t>, тротуаром (для территории домовладения).</w:t>
      </w:r>
    </w:p>
    <w:p w:rsidR="00D02177" w:rsidRDefault="00D02177" w:rsidP="00D021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02177" w:rsidRDefault="00D02177" w:rsidP="00D0217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C4BAE">
        <w:rPr>
          <w:b/>
          <w:spacing w:val="2"/>
          <w:sz w:val="28"/>
          <w:szCs w:val="28"/>
        </w:rPr>
        <w:t xml:space="preserve">Статья 4. </w:t>
      </w:r>
      <w:r>
        <w:rPr>
          <w:rFonts w:eastAsiaTheme="minorHAnsi"/>
          <w:b/>
          <w:sz w:val="28"/>
          <w:szCs w:val="28"/>
          <w:lang w:eastAsia="en-US"/>
        </w:rPr>
        <w:t>Определение границ прилегающих территорий</w:t>
      </w:r>
    </w:p>
    <w:p w:rsidR="00D02177" w:rsidRPr="00EC4BAE" w:rsidRDefault="00D02177" w:rsidP="00D021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177" w:rsidRPr="00A440A9" w:rsidRDefault="00D02177" w:rsidP="00D02177">
      <w:pPr>
        <w:shd w:val="clear" w:color="auto" w:fill="FFFFFF"/>
        <w:ind w:firstLine="708"/>
        <w:jc w:val="both"/>
        <w:textAlignment w:val="baseline"/>
        <w:outlineLvl w:val="2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A440A9">
        <w:rPr>
          <w:spacing w:val="2"/>
          <w:sz w:val="28"/>
          <w:szCs w:val="28"/>
        </w:rPr>
        <w:t>. Границ</w:t>
      </w:r>
      <w:r>
        <w:rPr>
          <w:spacing w:val="2"/>
          <w:sz w:val="28"/>
          <w:szCs w:val="28"/>
        </w:rPr>
        <w:t>ы</w:t>
      </w:r>
      <w:r w:rsidRPr="00A440A9">
        <w:rPr>
          <w:spacing w:val="2"/>
          <w:sz w:val="28"/>
          <w:szCs w:val="28"/>
        </w:rPr>
        <w:t xml:space="preserve"> прилегающ</w:t>
      </w:r>
      <w:r>
        <w:rPr>
          <w:spacing w:val="2"/>
          <w:sz w:val="28"/>
          <w:szCs w:val="28"/>
        </w:rPr>
        <w:t>их</w:t>
      </w:r>
      <w:r w:rsidRPr="00A440A9">
        <w:rPr>
          <w:spacing w:val="2"/>
          <w:sz w:val="28"/>
          <w:szCs w:val="28"/>
        </w:rPr>
        <w:t xml:space="preserve"> территори</w:t>
      </w:r>
      <w:r>
        <w:rPr>
          <w:spacing w:val="2"/>
          <w:sz w:val="28"/>
          <w:szCs w:val="28"/>
        </w:rPr>
        <w:t>й</w:t>
      </w:r>
      <w:r w:rsidRPr="00A440A9">
        <w:rPr>
          <w:spacing w:val="2"/>
          <w:sz w:val="28"/>
          <w:szCs w:val="28"/>
        </w:rPr>
        <w:t xml:space="preserve"> определяются</w:t>
      </w:r>
      <w:r>
        <w:rPr>
          <w:spacing w:val="2"/>
          <w:sz w:val="28"/>
          <w:szCs w:val="28"/>
        </w:rPr>
        <w:t xml:space="preserve"> в метрах в зависимости от расположения зданий, строений, сооружений, земельных участков, вида их разрешенного использования и фактического назначения, в следующем порядке</w:t>
      </w:r>
      <w:r w:rsidRPr="00A440A9">
        <w:rPr>
          <w:spacing w:val="2"/>
          <w:sz w:val="28"/>
          <w:szCs w:val="28"/>
        </w:rPr>
        <w:t>:</w:t>
      </w:r>
    </w:p>
    <w:p w:rsidR="00D02177" w:rsidRPr="00B43600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A440A9">
        <w:rPr>
          <w:spacing w:val="2"/>
          <w:sz w:val="28"/>
          <w:szCs w:val="28"/>
        </w:rPr>
        <w:t xml:space="preserve">1) </w:t>
      </w:r>
      <w:r w:rsidRPr="00B225BE">
        <w:rPr>
          <w:spacing w:val="2"/>
          <w:sz w:val="28"/>
          <w:szCs w:val="28"/>
        </w:rPr>
        <w:t xml:space="preserve"> для строительных площадок – не менее 1</w:t>
      </w:r>
      <w:r>
        <w:rPr>
          <w:spacing w:val="2"/>
          <w:sz w:val="28"/>
          <w:szCs w:val="28"/>
        </w:rPr>
        <w:t>0</w:t>
      </w:r>
      <w:r w:rsidRPr="00B225BE">
        <w:rPr>
          <w:spacing w:val="2"/>
          <w:sz w:val="28"/>
          <w:szCs w:val="28"/>
        </w:rPr>
        <w:t xml:space="preserve">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>от ограждения строительной площадки по всему периметру, а в случае отсутствия ограждения – не менее 25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 xml:space="preserve">от границы </w:t>
      </w:r>
      <w:r w:rsidRPr="00B43600">
        <w:rPr>
          <w:spacing w:val="2"/>
          <w:sz w:val="28"/>
          <w:szCs w:val="28"/>
        </w:rPr>
        <w:t>образованного земельного участка;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B225BE">
        <w:rPr>
          <w:spacing w:val="2"/>
          <w:sz w:val="28"/>
          <w:szCs w:val="28"/>
        </w:rPr>
        <w:t>) для нестационарных торговых объектов, в том числе торговых комплексов, павильонов, палаток, киосков  – не менее 5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>от объекта по всему периметру;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B225BE">
        <w:rPr>
          <w:spacing w:val="2"/>
          <w:sz w:val="28"/>
          <w:szCs w:val="28"/>
        </w:rPr>
        <w:t>) для земельных участков, на которых расположены станции технического обслуживания, места мойки автотранспорта, автозаправочные комплексы, а также въезды и выезды из них, – не менее 10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>от границ указанных земельных участков по всему периметру;</w:t>
      </w: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4</w:t>
      </w:r>
      <w:r w:rsidRPr="00B225BE">
        <w:rPr>
          <w:spacing w:val="2"/>
          <w:sz w:val="28"/>
          <w:szCs w:val="28"/>
        </w:rPr>
        <w:t xml:space="preserve">) для территории юридических лиц </w:t>
      </w:r>
      <w:r>
        <w:rPr>
          <w:spacing w:val="2"/>
          <w:sz w:val="28"/>
          <w:szCs w:val="28"/>
        </w:rPr>
        <w:t>или</w:t>
      </w:r>
      <w:r w:rsidRPr="00B225BE">
        <w:rPr>
          <w:spacing w:val="2"/>
          <w:sz w:val="28"/>
          <w:szCs w:val="28"/>
        </w:rPr>
        <w:t xml:space="preserve"> индивидуальных предпринимателей – не менее 5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 xml:space="preserve">от </w:t>
      </w:r>
      <w:r w:rsidRPr="00D02177">
        <w:rPr>
          <w:spacing w:val="2"/>
          <w:sz w:val="28"/>
          <w:szCs w:val="28"/>
        </w:rPr>
        <w:t>границы земельного участка</w:t>
      </w:r>
      <w:r>
        <w:rPr>
          <w:i/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 xml:space="preserve">по всему периметру, за исключением случаев, установленных пунктами </w:t>
      </w:r>
      <w:r w:rsidRPr="00D02177">
        <w:rPr>
          <w:spacing w:val="2"/>
          <w:sz w:val="28"/>
          <w:szCs w:val="28"/>
        </w:rPr>
        <w:t>1-3,5,</w:t>
      </w:r>
      <w:r>
        <w:rPr>
          <w:spacing w:val="2"/>
          <w:sz w:val="28"/>
          <w:szCs w:val="28"/>
        </w:rPr>
        <w:t xml:space="preserve"> </w:t>
      </w:r>
      <w:r w:rsidRPr="009C699E">
        <w:rPr>
          <w:spacing w:val="2"/>
          <w:sz w:val="28"/>
          <w:szCs w:val="28"/>
        </w:rPr>
        <w:t>11-13</w:t>
      </w:r>
      <w:r w:rsidRPr="00B225BE">
        <w:rPr>
          <w:spacing w:val="2"/>
          <w:sz w:val="28"/>
          <w:szCs w:val="28"/>
        </w:rPr>
        <w:t xml:space="preserve"> настоящей части;</w:t>
      </w: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5) для отдельно стоящих тепловых, трансформаторных подстанций, зданий и сооружений инженерно-технического назначения – не менее </w:t>
      </w:r>
      <w:r w:rsidRPr="00D02177">
        <w:rPr>
          <w:spacing w:val="2"/>
          <w:sz w:val="28"/>
          <w:szCs w:val="28"/>
        </w:rPr>
        <w:t>2,5</w:t>
      </w:r>
      <w:r>
        <w:rPr>
          <w:spacing w:val="2"/>
          <w:sz w:val="28"/>
          <w:szCs w:val="28"/>
        </w:rPr>
        <w:t xml:space="preserve"> метров от указанных объектов по всему периметру;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>
        <w:rPr>
          <w:rFonts w:eastAsiaTheme="minorHAnsi"/>
          <w:sz w:val="28"/>
          <w:szCs w:val="28"/>
          <w:lang w:eastAsia="en-US"/>
        </w:rPr>
        <w:t xml:space="preserve">для образованных земельных участков, на которых отсутствуют здания, строения, сооружения, </w:t>
      </w:r>
      <w:r w:rsidRPr="00287E1A">
        <w:rPr>
          <w:spacing w:val="2"/>
          <w:sz w:val="28"/>
          <w:szCs w:val="28"/>
        </w:rPr>
        <w:t xml:space="preserve">– не менее </w:t>
      </w:r>
      <w:r w:rsidRPr="00D02177">
        <w:rPr>
          <w:spacing w:val="2"/>
          <w:sz w:val="28"/>
          <w:szCs w:val="28"/>
        </w:rPr>
        <w:t>2,5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>от границ указанных земельных участков по всему периметру;</w:t>
      </w:r>
    </w:p>
    <w:p w:rsidR="00D02177" w:rsidRPr="00287E1A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287E1A">
        <w:rPr>
          <w:spacing w:val="2"/>
          <w:sz w:val="28"/>
          <w:szCs w:val="28"/>
        </w:rPr>
        <w:t xml:space="preserve">) для территории домовладения – не менее </w:t>
      </w:r>
      <w:r w:rsidRPr="00D02177">
        <w:rPr>
          <w:spacing w:val="2"/>
          <w:sz w:val="28"/>
          <w:szCs w:val="28"/>
        </w:rPr>
        <w:t>2,5 метров</w:t>
      </w:r>
      <w:r>
        <w:rPr>
          <w:spacing w:val="2"/>
          <w:sz w:val="28"/>
          <w:szCs w:val="28"/>
        </w:rPr>
        <w:t xml:space="preserve"> </w:t>
      </w:r>
      <w:r w:rsidRPr="00287E1A">
        <w:rPr>
          <w:spacing w:val="2"/>
          <w:sz w:val="28"/>
          <w:szCs w:val="28"/>
        </w:rPr>
        <w:t>от границ земельного участка, которые определены на основании сведений государственного кадастрового учета;</w:t>
      </w:r>
    </w:p>
    <w:p w:rsidR="00D02177" w:rsidRPr="00D02177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D02177">
        <w:rPr>
          <w:spacing w:val="2"/>
          <w:sz w:val="28"/>
          <w:szCs w:val="28"/>
        </w:rPr>
        <w:t>8) для территории домовладения, в отношении которой государственный кадастровый учет  не проведен, – не менее 2,5 метров от ограждения (забора) территории домовладения;</w:t>
      </w:r>
    </w:p>
    <w:p w:rsidR="00D02177" w:rsidRPr="0041079E" w:rsidRDefault="00D02177" w:rsidP="00D02177">
      <w:pPr>
        <w:shd w:val="clear" w:color="auto" w:fill="FFFFFF"/>
        <w:ind w:firstLine="708"/>
        <w:jc w:val="both"/>
        <w:textAlignment w:val="baseline"/>
        <w:rPr>
          <w:i/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Pr="00B225BE">
        <w:rPr>
          <w:spacing w:val="2"/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 0;</w:t>
      </w:r>
    </w:p>
    <w:p w:rsidR="00D02177" w:rsidRPr="00287E1A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Pr="00872C58">
        <w:rPr>
          <w:spacing w:val="2"/>
          <w:sz w:val="28"/>
          <w:szCs w:val="28"/>
        </w:rPr>
        <w:t xml:space="preserve">) для </w:t>
      </w:r>
      <w:r>
        <w:rPr>
          <w:spacing w:val="2"/>
          <w:sz w:val="28"/>
          <w:szCs w:val="28"/>
        </w:rPr>
        <w:t xml:space="preserve">домов блокированной застройки – не </w:t>
      </w:r>
      <w:r w:rsidRPr="00B225BE">
        <w:rPr>
          <w:spacing w:val="2"/>
          <w:sz w:val="28"/>
          <w:szCs w:val="28"/>
        </w:rPr>
        <w:t xml:space="preserve">менее </w:t>
      </w:r>
      <w:r w:rsidRPr="00D02177">
        <w:rPr>
          <w:spacing w:val="2"/>
          <w:sz w:val="28"/>
          <w:szCs w:val="28"/>
        </w:rPr>
        <w:t>2,5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 xml:space="preserve">от ограждения </w:t>
      </w:r>
      <w:r>
        <w:rPr>
          <w:spacing w:val="2"/>
          <w:sz w:val="28"/>
          <w:szCs w:val="28"/>
        </w:rPr>
        <w:t xml:space="preserve">(забора) </w:t>
      </w:r>
      <w:r w:rsidRPr="00B225BE">
        <w:rPr>
          <w:spacing w:val="2"/>
          <w:sz w:val="28"/>
          <w:szCs w:val="28"/>
        </w:rPr>
        <w:t>по всему периметру, а в случае отсутствия ограждения</w:t>
      </w:r>
      <w:r>
        <w:rPr>
          <w:spacing w:val="2"/>
          <w:sz w:val="28"/>
          <w:szCs w:val="28"/>
        </w:rPr>
        <w:t xml:space="preserve"> (забора) </w:t>
      </w:r>
      <w:r w:rsidRPr="00B225BE">
        <w:rPr>
          <w:spacing w:val="2"/>
          <w:sz w:val="28"/>
          <w:szCs w:val="28"/>
        </w:rPr>
        <w:t xml:space="preserve">– не менее </w:t>
      </w:r>
      <w:r w:rsidRPr="00D02177">
        <w:rPr>
          <w:spacing w:val="2"/>
          <w:sz w:val="28"/>
          <w:szCs w:val="28"/>
        </w:rPr>
        <w:t>2,5 метров</w:t>
      </w:r>
      <w:r>
        <w:rPr>
          <w:spacing w:val="2"/>
          <w:sz w:val="28"/>
          <w:szCs w:val="28"/>
        </w:rPr>
        <w:t xml:space="preserve"> </w:t>
      </w:r>
      <w:r w:rsidRPr="00287E1A">
        <w:rPr>
          <w:spacing w:val="2"/>
          <w:sz w:val="28"/>
          <w:szCs w:val="28"/>
        </w:rPr>
        <w:t>от границ земельного участка, которые определены на основании сведений государственного кадастрового учета;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Pr="00B225BE">
        <w:rPr>
          <w:spacing w:val="2"/>
          <w:sz w:val="28"/>
          <w:szCs w:val="28"/>
        </w:rPr>
        <w:t xml:space="preserve">) для </w:t>
      </w:r>
      <w:r>
        <w:rPr>
          <w:spacing w:val="2"/>
          <w:sz w:val="28"/>
          <w:szCs w:val="28"/>
        </w:rPr>
        <w:t xml:space="preserve">контейнерных площадок </w:t>
      </w:r>
      <w:r w:rsidRPr="00B225BE">
        <w:rPr>
          <w:spacing w:val="2"/>
          <w:sz w:val="28"/>
          <w:szCs w:val="28"/>
        </w:rPr>
        <w:t xml:space="preserve">– не менее </w:t>
      </w:r>
      <w:r>
        <w:rPr>
          <w:spacing w:val="2"/>
          <w:sz w:val="28"/>
          <w:szCs w:val="28"/>
        </w:rPr>
        <w:t>4</w:t>
      </w:r>
      <w:r w:rsidRPr="00B225BE">
        <w:rPr>
          <w:spacing w:val="2"/>
          <w:sz w:val="28"/>
          <w:szCs w:val="28"/>
        </w:rPr>
        <w:t xml:space="preserve"> метров</w:t>
      </w:r>
      <w:r>
        <w:rPr>
          <w:spacing w:val="2"/>
          <w:sz w:val="28"/>
          <w:szCs w:val="28"/>
        </w:rPr>
        <w:t xml:space="preserve"> по </w:t>
      </w:r>
      <w:r w:rsidRPr="00B225BE">
        <w:rPr>
          <w:spacing w:val="2"/>
          <w:sz w:val="28"/>
          <w:szCs w:val="28"/>
        </w:rPr>
        <w:t>периметру</w:t>
      </w:r>
      <w:r>
        <w:rPr>
          <w:spacing w:val="2"/>
          <w:sz w:val="28"/>
          <w:szCs w:val="28"/>
        </w:rPr>
        <w:t xml:space="preserve"> контейнерной площадки</w:t>
      </w:r>
      <w:r w:rsidRPr="00B225BE">
        <w:rPr>
          <w:spacing w:val="2"/>
          <w:sz w:val="28"/>
          <w:szCs w:val="28"/>
        </w:rPr>
        <w:t>;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</w:t>
      </w:r>
      <w:r w:rsidRPr="00287E1A">
        <w:rPr>
          <w:spacing w:val="2"/>
          <w:sz w:val="28"/>
          <w:szCs w:val="28"/>
        </w:rPr>
        <w:t>) для некапитальных строений, сооружений</w:t>
      </w:r>
      <w:r w:rsidRPr="00B225BE">
        <w:rPr>
          <w:spacing w:val="2"/>
          <w:sz w:val="28"/>
          <w:szCs w:val="28"/>
        </w:rPr>
        <w:t>, малых архитектурных форм - не менее 3 метров</w:t>
      </w:r>
      <w:r>
        <w:rPr>
          <w:spacing w:val="2"/>
          <w:sz w:val="28"/>
          <w:szCs w:val="28"/>
        </w:rPr>
        <w:t xml:space="preserve"> </w:t>
      </w:r>
      <w:r w:rsidRPr="00B225BE">
        <w:rPr>
          <w:spacing w:val="2"/>
          <w:sz w:val="28"/>
          <w:szCs w:val="28"/>
        </w:rPr>
        <w:t>от указанных объектов по всему периметру;</w:t>
      </w: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B225B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225BE">
        <w:rPr>
          <w:sz w:val="28"/>
          <w:szCs w:val="28"/>
        </w:rPr>
        <w:t>) для садоводческих или огороднических некоммерческих товариществ, а также гаражных кооперативов – не менее 5 метров</w:t>
      </w:r>
      <w:r>
        <w:rPr>
          <w:sz w:val="28"/>
          <w:szCs w:val="28"/>
        </w:rPr>
        <w:t xml:space="preserve"> </w:t>
      </w:r>
      <w:r w:rsidRPr="00B225BE">
        <w:rPr>
          <w:sz w:val="28"/>
          <w:szCs w:val="28"/>
        </w:rPr>
        <w:t>от границы земельных участков, на которых расположены садоводческие</w:t>
      </w:r>
      <w:r>
        <w:rPr>
          <w:sz w:val="28"/>
          <w:szCs w:val="28"/>
        </w:rPr>
        <w:t xml:space="preserve"> </w:t>
      </w:r>
      <w:r w:rsidRPr="00287E1A">
        <w:rPr>
          <w:sz w:val="28"/>
          <w:szCs w:val="28"/>
        </w:rPr>
        <w:t>или огороднические некоммерческие товарищества, а также гаражные кооперативы, а в случае если границы  земельных участков, на которых</w:t>
      </w:r>
      <w:r w:rsidRPr="00B225BE">
        <w:rPr>
          <w:sz w:val="28"/>
          <w:szCs w:val="28"/>
        </w:rPr>
        <w:t xml:space="preserve"> расположены садоводческие или огороднические некоммерческие товарищества, а также гаражные кооперативы, не установлены – не менее 5 метров</w:t>
      </w:r>
      <w:r>
        <w:rPr>
          <w:sz w:val="28"/>
          <w:szCs w:val="28"/>
        </w:rPr>
        <w:t xml:space="preserve"> </w:t>
      </w:r>
      <w:r w:rsidRPr="00B225BE">
        <w:rPr>
          <w:sz w:val="28"/>
          <w:szCs w:val="28"/>
        </w:rPr>
        <w:t>от их ограждений (заборов)</w:t>
      </w:r>
      <w:r>
        <w:rPr>
          <w:sz w:val="28"/>
          <w:szCs w:val="28"/>
        </w:rPr>
        <w:t xml:space="preserve">. </w:t>
      </w: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86943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pacing w:val="2"/>
          <w:sz w:val="28"/>
          <w:szCs w:val="28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аксимальное расстояние от </w:t>
      </w:r>
      <w:r>
        <w:rPr>
          <w:spacing w:val="2"/>
          <w:sz w:val="28"/>
          <w:szCs w:val="28"/>
        </w:rPr>
        <w:t>зданий, строений, сооружений, земельных участков</w:t>
      </w:r>
      <w:r>
        <w:rPr>
          <w:rFonts w:eastAsiaTheme="minorHAnsi"/>
          <w:sz w:val="28"/>
          <w:szCs w:val="28"/>
          <w:lang w:eastAsia="en-US"/>
        </w:rPr>
        <w:t xml:space="preserve"> до границ прилегающей территории не может превышать более чем на 30 процентов минимальное расстояние, установленное частью 1 настоящей статьи.</w:t>
      </w: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rFonts w:eastAsia="Calibri"/>
          <w:b/>
          <w:iCs/>
          <w:sz w:val="28"/>
          <w:szCs w:val="28"/>
        </w:rPr>
      </w:pPr>
    </w:p>
    <w:p w:rsidR="00D02177" w:rsidRDefault="00D02177" w:rsidP="00D02177">
      <w:pPr>
        <w:shd w:val="clear" w:color="auto" w:fill="FFFFFF"/>
        <w:ind w:firstLine="708"/>
        <w:jc w:val="both"/>
        <w:textAlignment w:val="baseline"/>
        <w:rPr>
          <w:rFonts w:eastAsia="Calibri"/>
          <w:b/>
          <w:iCs/>
          <w:sz w:val="28"/>
          <w:szCs w:val="28"/>
        </w:rPr>
      </w:pPr>
      <w:r w:rsidRPr="000B676C">
        <w:rPr>
          <w:rFonts w:eastAsia="Calibri"/>
          <w:b/>
          <w:iCs/>
          <w:sz w:val="28"/>
          <w:szCs w:val="28"/>
        </w:rPr>
        <w:t xml:space="preserve">Статья 5. </w:t>
      </w:r>
      <w:r>
        <w:rPr>
          <w:rFonts w:eastAsia="Calibri"/>
          <w:b/>
          <w:iCs/>
          <w:sz w:val="28"/>
          <w:szCs w:val="28"/>
        </w:rPr>
        <w:t>Описание границ прилегающих территорий</w:t>
      </w:r>
    </w:p>
    <w:p w:rsidR="00D02177" w:rsidRPr="000B676C" w:rsidRDefault="00D02177" w:rsidP="00D02177">
      <w:pPr>
        <w:shd w:val="clear" w:color="auto" w:fill="FFFFFF"/>
        <w:ind w:firstLine="708"/>
        <w:jc w:val="both"/>
        <w:textAlignment w:val="baseline"/>
        <w:rPr>
          <w:b/>
          <w:spacing w:val="2"/>
          <w:sz w:val="28"/>
          <w:szCs w:val="28"/>
        </w:rPr>
      </w:pPr>
    </w:p>
    <w:p w:rsidR="00D02177" w:rsidRPr="009748F1" w:rsidRDefault="00D02177" w:rsidP="00D021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B225BE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Описание границ прилегающих территорий осуществляется в текстовой форме и (или) в виде графического описания. </w:t>
      </w:r>
      <w:r w:rsidRPr="00B225BE">
        <w:rPr>
          <w:sz w:val="28"/>
          <w:szCs w:val="28"/>
        </w:rPr>
        <w:t xml:space="preserve">Форма описания </w:t>
      </w:r>
      <w:r w:rsidRPr="00B225BE">
        <w:rPr>
          <w:sz w:val="28"/>
          <w:szCs w:val="28"/>
        </w:rPr>
        <w:lastRenderedPageBreak/>
        <w:t>границ прилегающих территорий устанавливается представительным органом муниципального образования Тверской области</w:t>
      </w:r>
      <w:r w:rsidRPr="00B225BE">
        <w:rPr>
          <w:rFonts w:eastAsiaTheme="minorHAnsi"/>
          <w:sz w:val="28"/>
          <w:szCs w:val="28"/>
          <w:lang w:eastAsia="en-US"/>
        </w:rPr>
        <w:t>.</w:t>
      </w:r>
    </w:p>
    <w:p w:rsidR="00D02177" w:rsidRDefault="00D02177" w:rsidP="00D021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Информация о границах прилегающих территорий подлежит опубликованию (обнародованию) в порядке, установленном уставом муниципального образования Тверской области для официального опубликования (обнародования) муниципальных правовых актов.</w:t>
      </w:r>
      <w:r w:rsidRPr="00B225BE">
        <w:rPr>
          <w:rFonts w:eastAsiaTheme="minorHAnsi"/>
          <w:sz w:val="28"/>
          <w:szCs w:val="28"/>
          <w:lang w:eastAsia="en-US"/>
        </w:rPr>
        <w:t xml:space="preserve"> </w:t>
      </w:r>
    </w:p>
    <w:p w:rsidR="00D02177" w:rsidRDefault="00D02177" w:rsidP="00D021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A105F">
        <w:rPr>
          <w:rFonts w:eastAsiaTheme="minorHAnsi"/>
          <w:b/>
          <w:sz w:val="28"/>
          <w:szCs w:val="28"/>
          <w:lang w:eastAsia="en-US"/>
        </w:rPr>
        <w:t>Статья 6. Изменение границ прилегающих территорий</w:t>
      </w: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 w:rsidRPr="008A105F">
        <w:rPr>
          <w:color w:val="000000"/>
          <w:sz w:val="28"/>
          <w:szCs w:val="28"/>
          <w:lang w:bidi="ru-RU"/>
        </w:rPr>
        <w:t>1. Изменение границ прилегающих территорий осуществляется в следующих случаях:</w:t>
      </w: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</w:t>
      </w:r>
      <w:r w:rsidRPr="008A105F">
        <w:rPr>
          <w:color w:val="000000"/>
          <w:sz w:val="28"/>
          <w:szCs w:val="28"/>
          <w:lang w:bidi="ru-RU"/>
        </w:rPr>
        <w:t>) изменени</w:t>
      </w:r>
      <w:r>
        <w:rPr>
          <w:color w:val="000000"/>
          <w:sz w:val="28"/>
          <w:szCs w:val="28"/>
          <w:lang w:bidi="ru-RU"/>
        </w:rPr>
        <w:t>е</w:t>
      </w:r>
      <w:r w:rsidRPr="008A105F">
        <w:rPr>
          <w:color w:val="000000"/>
          <w:sz w:val="28"/>
          <w:szCs w:val="28"/>
          <w:lang w:bidi="ru-RU"/>
        </w:rPr>
        <w:t xml:space="preserve"> границ земельных участков;</w:t>
      </w: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</w:t>
      </w:r>
      <w:r w:rsidRPr="008A105F">
        <w:rPr>
          <w:color w:val="000000"/>
          <w:sz w:val="28"/>
          <w:szCs w:val="28"/>
          <w:lang w:bidi="ru-RU"/>
        </w:rPr>
        <w:t>) образовани</w:t>
      </w:r>
      <w:r>
        <w:rPr>
          <w:color w:val="000000"/>
          <w:sz w:val="28"/>
          <w:szCs w:val="28"/>
          <w:lang w:bidi="ru-RU"/>
        </w:rPr>
        <w:t>е</w:t>
      </w:r>
      <w:r w:rsidRPr="008A105F">
        <w:rPr>
          <w:color w:val="000000"/>
          <w:sz w:val="28"/>
          <w:szCs w:val="28"/>
          <w:lang w:bidi="ru-RU"/>
        </w:rPr>
        <w:t xml:space="preserve"> земельных участков, на которых расположены здания, строения, сооружения, или иных земельных участков;</w:t>
      </w: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</w:t>
      </w:r>
      <w:r w:rsidRPr="008A105F">
        <w:rPr>
          <w:color w:val="000000"/>
          <w:sz w:val="28"/>
          <w:szCs w:val="28"/>
          <w:lang w:bidi="ru-RU"/>
        </w:rPr>
        <w:t>) изменени</w:t>
      </w:r>
      <w:r>
        <w:rPr>
          <w:color w:val="000000"/>
          <w:sz w:val="28"/>
          <w:szCs w:val="28"/>
          <w:lang w:bidi="ru-RU"/>
        </w:rPr>
        <w:t>е</w:t>
      </w:r>
      <w:r w:rsidRPr="008A105F">
        <w:rPr>
          <w:color w:val="000000"/>
          <w:sz w:val="28"/>
          <w:szCs w:val="28"/>
          <w:lang w:bidi="ru-RU"/>
        </w:rPr>
        <w:t xml:space="preserve"> назначения использования зданий, строений, сооружений, земельных участков.</w:t>
      </w:r>
    </w:p>
    <w:p w:rsidR="00D02177" w:rsidRPr="0015515A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 w:rsidRPr="0015515A">
        <w:rPr>
          <w:color w:val="000000"/>
          <w:sz w:val="28"/>
          <w:szCs w:val="28"/>
          <w:lang w:bidi="ru-RU"/>
        </w:rPr>
        <w:t>2. Изменение границ прилегающих территорий осуществляется в соответствии с порядком для определения границ прилегающих территорий, установленны</w:t>
      </w:r>
      <w:r>
        <w:rPr>
          <w:color w:val="000000"/>
          <w:sz w:val="28"/>
          <w:szCs w:val="28"/>
          <w:lang w:bidi="ru-RU"/>
        </w:rPr>
        <w:t>м</w:t>
      </w:r>
      <w:r w:rsidRPr="0015515A">
        <w:rPr>
          <w:color w:val="000000"/>
          <w:sz w:val="28"/>
          <w:szCs w:val="28"/>
          <w:lang w:bidi="ru-RU"/>
        </w:rPr>
        <w:t xml:space="preserve"> настоящим законом. </w:t>
      </w:r>
    </w:p>
    <w:p w:rsidR="00D02177" w:rsidRPr="008A105F" w:rsidRDefault="00D02177" w:rsidP="00D021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bidi="ru-RU"/>
        </w:rPr>
      </w:pPr>
      <w:r w:rsidRPr="008A105F">
        <w:rPr>
          <w:color w:val="000000"/>
          <w:sz w:val="28"/>
          <w:szCs w:val="28"/>
          <w:lang w:bidi="ru-RU"/>
        </w:rPr>
        <w:t>3. Изменение границ прилегающих территорий может быть осуществлено по заявлениям заинтересованных лиц.</w:t>
      </w:r>
    </w:p>
    <w:p w:rsidR="00D02177" w:rsidRPr="00B225BE" w:rsidRDefault="00D02177" w:rsidP="00D02177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B225BE">
        <w:rPr>
          <w:b/>
          <w:spacing w:val="2"/>
          <w:sz w:val="28"/>
          <w:szCs w:val="28"/>
        </w:rPr>
        <w:t xml:space="preserve">Статья </w:t>
      </w:r>
      <w:r>
        <w:rPr>
          <w:b/>
          <w:spacing w:val="2"/>
          <w:sz w:val="28"/>
          <w:szCs w:val="28"/>
        </w:rPr>
        <w:t>7</w:t>
      </w:r>
      <w:r w:rsidRPr="00B225BE">
        <w:rPr>
          <w:b/>
          <w:spacing w:val="2"/>
          <w:sz w:val="28"/>
          <w:szCs w:val="28"/>
        </w:rPr>
        <w:t>. Вступление в силу настоящего закона</w:t>
      </w: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D02177" w:rsidRPr="00B225BE" w:rsidRDefault="00D02177" w:rsidP="00D02177">
      <w:pPr>
        <w:shd w:val="clear" w:color="auto" w:fill="FFFFFF"/>
        <w:ind w:firstLine="708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B225BE">
        <w:rPr>
          <w:spacing w:val="2"/>
          <w:sz w:val="28"/>
          <w:szCs w:val="28"/>
        </w:rPr>
        <w:t>Настоящий закон вступает в силу со дня его официального опубликования.</w:t>
      </w:r>
    </w:p>
    <w:p w:rsidR="004006D5" w:rsidRDefault="004006D5" w:rsidP="004006D5">
      <w:pPr>
        <w:ind w:firstLine="720"/>
        <w:jc w:val="both"/>
        <w:rPr>
          <w:sz w:val="28"/>
          <w:szCs w:val="28"/>
        </w:rPr>
      </w:pPr>
    </w:p>
    <w:p w:rsidR="00C43833" w:rsidRPr="00B225BE" w:rsidRDefault="00C43833" w:rsidP="004006D5">
      <w:pPr>
        <w:ind w:firstLine="720"/>
        <w:jc w:val="both"/>
        <w:rPr>
          <w:sz w:val="28"/>
          <w:szCs w:val="28"/>
        </w:rPr>
      </w:pPr>
    </w:p>
    <w:p w:rsidR="001931D5" w:rsidRDefault="004006D5" w:rsidP="005F5511">
      <w:pPr>
        <w:jc w:val="both"/>
        <w:rPr>
          <w:sz w:val="28"/>
          <w:szCs w:val="28"/>
        </w:rPr>
      </w:pPr>
      <w:r w:rsidRPr="00C43833">
        <w:rPr>
          <w:sz w:val="28"/>
          <w:szCs w:val="28"/>
        </w:rPr>
        <w:t>Губернатор</w:t>
      </w:r>
      <w:r w:rsidR="00C43833">
        <w:rPr>
          <w:sz w:val="28"/>
          <w:szCs w:val="28"/>
        </w:rPr>
        <w:t xml:space="preserve"> </w:t>
      </w:r>
      <w:r w:rsidRPr="00C43833">
        <w:rPr>
          <w:sz w:val="28"/>
          <w:szCs w:val="28"/>
        </w:rPr>
        <w:t xml:space="preserve">Тверской области </w:t>
      </w:r>
      <w:r w:rsidRPr="00C43833">
        <w:rPr>
          <w:sz w:val="28"/>
          <w:szCs w:val="28"/>
        </w:rPr>
        <w:tab/>
      </w:r>
      <w:r w:rsidRPr="00C43833">
        <w:rPr>
          <w:sz w:val="28"/>
          <w:szCs w:val="28"/>
        </w:rPr>
        <w:tab/>
      </w:r>
      <w:r w:rsidR="00FC7AD4" w:rsidRPr="00C43833">
        <w:rPr>
          <w:sz w:val="28"/>
          <w:szCs w:val="28"/>
        </w:rPr>
        <w:t xml:space="preserve">                     </w:t>
      </w:r>
      <w:r w:rsidR="005F5511" w:rsidRPr="00C43833">
        <w:rPr>
          <w:sz w:val="28"/>
          <w:szCs w:val="28"/>
        </w:rPr>
        <w:t xml:space="preserve"> </w:t>
      </w:r>
      <w:r w:rsidR="00FC7AD4" w:rsidRPr="00C43833">
        <w:rPr>
          <w:sz w:val="28"/>
          <w:szCs w:val="28"/>
        </w:rPr>
        <w:t xml:space="preserve">        </w:t>
      </w:r>
      <w:r w:rsidRPr="00C43833">
        <w:rPr>
          <w:sz w:val="28"/>
          <w:szCs w:val="28"/>
        </w:rPr>
        <w:tab/>
        <w:t xml:space="preserve">        И.М. Руденя</w:t>
      </w:r>
    </w:p>
    <w:p w:rsidR="00C43833" w:rsidRDefault="00C43833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B182B" w:rsidRPr="007B182B" w:rsidRDefault="007B182B" w:rsidP="007B182B">
      <w:pPr>
        <w:jc w:val="both"/>
        <w:rPr>
          <w:sz w:val="28"/>
          <w:szCs w:val="28"/>
        </w:rPr>
      </w:pPr>
      <w:r w:rsidRPr="007B182B">
        <w:rPr>
          <w:sz w:val="28"/>
          <w:szCs w:val="28"/>
        </w:rPr>
        <w:t>04 февраля 2019 года</w:t>
      </w:r>
    </w:p>
    <w:p w:rsidR="00C43833" w:rsidRPr="007B182B" w:rsidRDefault="007B182B" w:rsidP="007B182B">
      <w:pPr>
        <w:jc w:val="both"/>
        <w:rPr>
          <w:sz w:val="28"/>
          <w:szCs w:val="28"/>
        </w:rPr>
      </w:pPr>
      <w:r w:rsidRPr="007B182B">
        <w:rPr>
          <w:sz w:val="28"/>
          <w:szCs w:val="28"/>
        </w:rPr>
        <w:t>№ 4-ЗО</w:t>
      </w:r>
    </w:p>
    <w:p w:rsidR="00C43833" w:rsidRDefault="00C43833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</w:p>
    <w:p w:rsidR="00D02177" w:rsidRDefault="00D02177" w:rsidP="005F5511">
      <w:pPr>
        <w:jc w:val="both"/>
        <w:rPr>
          <w:sz w:val="28"/>
          <w:szCs w:val="28"/>
        </w:rPr>
      </w:pPr>
    </w:p>
    <w:p w:rsidR="00D02177" w:rsidRDefault="00D02177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</w:p>
    <w:p w:rsidR="00FB03E0" w:rsidRDefault="00FB03E0" w:rsidP="005F5511">
      <w:pPr>
        <w:jc w:val="both"/>
        <w:rPr>
          <w:sz w:val="28"/>
          <w:szCs w:val="28"/>
        </w:rPr>
      </w:pPr>
    </w:p>
    <w:p w:rsidR="00FB03E0" w:rsidRDefault="00FB03E0" w:rsidP="005F5511">
      <w:pPr>
        <w:jc w:val="both"/>
        <w:rPr>
          <w:sz w:val="28"/>
          <w:szCs w:val="28"/>
        </w:rPr>
      </w:pPr>
    </w:p>
    <w:p w:rsidR="00C43833" w:rsidRDefault="00C43833" w:rsidP="005F5511">
      <w:pPr>
        <w:jc w:val="both"/>
        <w:rPr>
          <w:sz w:val="28"/>
          <w:szCs w:val="28"/>
        </w:rPr>
      </w:pPr>
    </w:p>
    <w:p w:rsidR="00C43833" w:rsidRDefault="00652209" w:rsidP="00FB03E0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\p  \* MERGEFORMAT </w:instrText>
      </w:r>
      <w:r>
        <w:rPr>
          <w:noProof/>
          <w:sz w:val="16"/>
          <w:szCs w:val="16"/>
        </w:rPr>
        <w:fldChar w:fldCharType="separate"/>
      </w:r>
      <w:r w:rsidR="00FB03E0" w:rsidRPr="00FB03E0">
        <w:rPr>
          <w:noProof/>
          <w:sz w:val="16"/>
          <w:szCs w:val="16"/>
        </w:rPr>
        <w:t>\\Fs01\комитет по транспорту и жкк\6 созыв\Документы комитета\35 заседание (24.01.2019)\pr\z(35)691-П-6.docx</w:t>
      </w:r>
      <w:r>
        <w:rPr>
          <w:noProof/>
          <w:sz w:val="16"/>
          <w:szCs w:val="16"/>
        </w:rPr>
        <w:fldChar w:fldCharType="end"/>
      </w:r>
      <w:bookmarkStart w:id="2" w:name="_GoBack"/>
      <w:bookmarkEnd w:id="2"/>
    </w:p>
    <w:sectPr w:rsidR="00C43833" w:rsidSect="00C4383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09" w:rsidRDefault="00652209" w:rsidP="00925D19">
      <w:r>
        <w:separator/>
      </w:r>
    </w:p>
  </w:endnote>
  <w:endnote w:type="continuationSeparator" w:id="0">
    <w:p w:rsidR="00652209" w:rsidRDefault="00652209" w:rsidP="0092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09" w:rsidRDefault="00652209" w:rsidP="00925D19">
      <w:r>
        <w:separator/>
      </w:r>
    </w:p>
  </w:footnote>
  <w:footnote w:type="continuationSeparator" w:id="0">
    <w:p w:rsidR="00652209" w:rsidRDefault="00652209" w:rsidP="0092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3255"/>
    </w:sdtPr>
    <w:sdtEndPr/>
    <w:sdtContent>
      <w:p w:rsidR="00925D19" w:rsidRDefault="005D4DE3" w:rsidP="00C43833">
        <w:pPr>
          <w:pStyle w:val="a5"/>
          <w:jc w:val="right"/>
        </w:pPr>
        <w:r w:rsidRPr="00C43833">
          <w:rPr>
            <w:sz w:val="28"/>
            <w:szCs w:val="28"/>
          </w:rPr>
          <w:fldChar w:fldCharType="begin"/>
        </w:r>
        <w:r w:rsidR="005E364E" w:rsidRPr="00C43833">
          <w:rPr>
            <w:sz w:val="28"/>
            <w:szCs w:val="28"/>
          </w:rPr>
          <w:instrText xml:space="preserve"> PAGE   \* MERGEFORMAT </w:instrText>
        </w:r>
        <w:r w:rsidRPr="00C43833">
          <w:rPr>
            <w:sz w:val="28"/>
            <w:szCs w:val="28"/>
          </w:rPr>
          <w:fldChar w:fldCharType="separate"/>
        </w:r>
        <w:r w:rsidR="007B182B">
          <w:rPr>
            <w:noProof/>
            <w:sz w:val="28"/>
            <w:szCs w:val="28"/>
          </w:rPr>
          <w:t>4</w:t>
        </w:r>
        <w:r w:rsidRPr="00C43833">
          <w:rPr>
            <w:noProof/>
            <w:sz w:val="28"/>
            <w:szCs w:val="28"/>
          </w:rPr>
          <w:fldChar w:fldCharType="end"/>
        </w:r>
      </w:p>
    </w:sdtContent>
  </w:sdt>
  <w:p w:rsidR="00925D19" w:rsidRDefault="00925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075"/>
    <w:multiLevelType w:val="multilevel"/>
    <w:tmpl w:val="1D0C951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E536B"/>
    <w:multiLevelType w:val="multilevel"/>
    <w:tmpl w:val="0C7416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275FA3"/>
    <w:multiLevelType w:val="multilevel"/>
    <w:tmpl w:val="58A41EA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6D5"/>
    <w:rsid w:val="00000C34"/>
    <w:rsid w:val="00005FB8"/>
    <w:rsid w:val="00010D1E"/>
    <w:rsid w:val="00010E76"/>
    <w:rsid w:val="00011C3E"/>
    <w:rsid w:val="00013161"/>
    <w:rsid w:val="000260DA"/>
    <w:rsid w:val="00033313"/>
    <w:rsid w:val="000350EA"/>
    <w:rsid w:val="000473E8"/>
    <w:rsid w:val="00077747"/>
    <w:rsid w:val="00077DE3"/>
    <w:rsid w:val="000803A3"/>
    <w:rsid w:val="00080BCD"/>
    <w:rsid w:val="000A0E8B"/>
    <w:rsid w:val="000B0553"/>
    <w:rsid w:val="000B124F"/>
    <w:rsid w:val="000B47B8"/>
    <w:rsid w:val="000B676C"/>
    <w:rsid w:val="000C06B8"/>
    <w:rsid w:val="000C247E"/>
    <w:rsid w:val="000D3EA5"/>
    <w:rsid w:val="000D6915"/>
    <w:rsid w:val="000D78FD"/>
    <w:rsid w:val="000E2159"/>
    <w:rsid w:val="000E59C8"/>
    <w:rsid w:val="000F752D"/>
    <w:rsid w:val="000F7A60"/>
    <w:rsid w:val="00103383"/>
    <w:rsid w:val="0011386D"/>
    <w:rsid w:val="0011752D"/>
    <w:rsid w:val="00135D3A"/>
    <w:rsid w:val="0013604C"/>
    <w:rsid w:val="001366D3"/>
    <w:rsid w:val="00147036"/>
    <w:rsid w:val="00151C6B"/>
    <w:rsid w:val="001528D2"/>
    <w:rsid w:val="0015515A"/>
    <w:rsid w:val="001575F2"/>
    <w:rsid w:val="0017631A"/>
    <w:rsid w:val="00186943"/>
    <w:rsid w:val="00190F97"/>
    <w:rsid w:val="00190FED"/>
    <w:rsid w:val="0019175C"/>
    <w:rsid w:val="001931D5"/>
    <w:rsid w:val="001A6D06"/>
    <w:rsid w:val="001B2527"/>
    <w:rsid w:val="001B374E"/>
    <w:rsid w:val="001B58DC"/>
    <w:rsid w:val="001C319C"/>
    <w:rsid w:val="001E1632"/>
    <w:rsid w:val="001E5A1C"/>
    <w:rsid w:val="001E7B98"/>
    <w:rsid w:val="001F07C9"/>
    <w:rsid w:val="001F3A46"/>
    <w:rsid w:val="00206014"/>
    <w:rsid w:val="0022423A"/>
    <w:rsid w:val="0024498A"/>
    <w:rsid w:val="00250CAD"/>
    <w:rsid w:val="002560CD"/>
    <w:rsid w:val="00262785"/>
    <w:rsid w:val="00266CF4"/>
    <w:rsid w:val="00274538"/>
    <w:rsid w:val="002748D2"/>
    <w:rsid w:val="00276465"/>
    <w:rsid w:val="00284721"/>
    <w:rsid w:val="00287E1A"/>
    <w:rsid w:val="002A2976"/>
    <w:rsid w:val="002A4E6B"/>
    <w:rsid w:val="002C40C4"/>
    <w:rsid w:val="002D19E9"/>
    <w:rsid w:val="002E19B3"/>
    <w:rsid w:val="002E3464"/>
    <w:rsid w:val="002E599B"/>
    <w:rsid w:val="00314197"/>
    <w:rsid w:val="003232DD"/>
    <w:rsid w:val="00327E97"/>
    <w:rsid w:val="00333F8D"/>
    <w:rsid w:val="003353ED"/>
    <w:rsid w:val="00346249"/>
    <w:rsid w:val="003467BA"/>
    <w:rsid w:val="00346A48"/>
    <w:rsid w:val="00357739"/>
    <w:rsid w:val="0036096E"/>
    <w:rsid w:val="00372819"/>
    <w:rsid w:val="003739BB"/>
    <w:rsid w:val="003839E2"/>
    <w:rsid w:val="003A2D5B"/>
    <w:rsid w:val="003B6FB5"/>
    <w:rsid w:val="003C08C3"/>
    <w:rsid w:val="003C0930"/>
    <w:rsid w:val="003C561D"/>
    <w:rsid w:val="003C6929"/>
    <w:rsid w:val="003E72F5"/>
    <w:rsid w:val="003F405F"/>
    <w:rsid w:val="004006D5"/>
    <w:rsid w:val="00403429"/>
    <w:rsid w:val="0041074F"/>
    <w:rsid w:val="0041079E"/>
    <w:rsid w:val="00411489"/>
    <w:rsid w:val="00423A80"/>
    <w:rsid w:val="0044254E"/>
    <w:rsid w:val="00450B76"/>
    <w:rsid w:val="00454099"/>
    <w:rsid w:val="00454795"/>
    <w:rsid w:val="004552A9"/>
    <w:rsid w:val="00455CBC"/>
    <w:rsid w:val="00456116"/>
    <w:rsid w:val="00462069"/>
    <w:rsid w:val="00462C87"/>
    <w:rsid w:val="00465640"/>
    <w:rsid w:val="00466916"/>
    <w:rsid w:val="00472F30"/>
    <w:rsid w:val="00491AD6"/>
    <w:rsid w:val="00491DA9"/>
    <w:rsid w:val="004922D9"/>
    <w:rsid w:val="00495D0C"/>
    <w:rsid w:val="0049776D"/>
    <w:rsid w:val="00497CD5"/>
    <w:rsid w:val="004A1D6F"/>
    <w:rsid w:val="004A3171"/>
    <w:rsid w:val="004B2176"/>
    <w:rsid w:val="004B6DB8"/>
    <w:rsid w:val="004B7F9E"/>
    <w:rsid w:val="004C794C"/>
    <w:rsid w:val="004D1490"/>
    <w:rsid w:val="004D56B6"/>
    <w:rsid w:val="00504F9E"/>
    <w:rsid w:val="00505359"/>
    <w:rsid w:val="0051603B"/>
    <w:rsid w:val="00517526"/>
    <w:rsid w:val="00532D04"/>
    <w:rsid w:val="00533F6E"/>
    <w:rsid w:val="00543A72"/>
    <w:rsid w:val="00544CC5"/>
    <w:rsid w:val="00555348"/>
    <w:rsid w:val="00590AFB"/>
    <w:rsid w:val="005A4293"/>
    <w:rsid w:val="005A61C4"/>
    <w:rsid w:val="005B5E95"/>
    <w:rsid w:val="005B7F8D"/>
    <w:rsid w:val="005D4DE3"/>
    <w:rsid w:val="005D72B7"/>
    <w:rsid w:val="005E3444"/>
    <w:rsid w:val="005E364E"/>
    <w:rsid w:val="005E6FBA"/>
    <w:rsid w:val="005F5511"/>
    <w:rsid w:val="005F67A9"/>
    <w:rsid w:val="00600F37"/>
    <w:rsid w:val="00604CC2"/>
    <w:rsid w:val="00611EC3"/>
    <w:rsid w:val="0061643E"/>
    <w:rsid w:val="006206F1"/>
    <w:rsid w:val="006275DA"/>
    <w:rsid w:val="00627FA0"/>
    <w:rsid w:val="00630F54"/>
    <w:rsid w:val="006407FB"/>
    <w:rsid w:val="00650B81"/>
    <w:rsid w:val="00652209"/>
    <w:rsid w:val="00674B22"/>
    <w:rsid w:val="00680083"/>
    <w:rsid w:val="006A14FF"/>
    <w:rsid w:val="006A59F3"/>
    <w:rsid w:val="006A5B27"/>
    <w:rsid w:val="006B0914"/>
    <w:rsid w:val="006B2A4F"/>
    <w:rsid w:val="006B5EBC"/>
    <w:rsid w:val="006B740C"/>
    <w:rsid w:val="006C3FCB"/>
    <w:rsid w:val="006C6B82"/>
    <w:rsid w:val="006E75C0"/>
    <w:rsid w:val="006F5B56"/>
    <w:rsid w:val="00704989"/>
    <w:rsid w:val="0071188E"/>
    <w:rsid w:val="00712C11"/>
    <w:rsid w:val="00726914"/>
    <w:rsid w:val="00731C55"/>
    <w:rsid w:val="00731D04"/>
    <w:rsid w:val="00742B39"/>
    <w:rsid w:val="00742E6C"/>
    <w:rsid w:val="007458E7"/>
    <w:rsid w:val="00750886"/>
    <w:rsid w:val="007738B1"/>
    <w:rsid w:val="0077706E"/>
    <w:rsid w:val="00782E59"/>
    <w:rsid w:val="007847E9"/>
    <w:rsid w:val="007A3DA1"/>
    <w:rsid w:val="007A776A"/>
    <w:rsid w:val="007B182B"/>
    <w:rsid w:val="007B1B7A"/>
    <w:rsid w:val="007B2BFF"/>
    <w:rsid w:val="007B4FA3"/>
    <w:rsid w:val="007C7EC7"/>
    <w:rsid w:val="007D08FE"/>
    <w:rsid w:val="007D6236"/>
    <w:rsid w:val="007E0986"/>
    <w:rsid w:val="007E1630"/>
    <w:rsid w:val="007E7C13"/>
    <w:rsid w:val="007F3990"/>
    <w:rsid w:val="007F42F7"/>
    <w:rsid w:val="00807B27"/>
    <w:rsid w:val="008134A1"/>
    <w:rsid w:val="008148CE"/>
    <w:rsid w:val="00815972"/>
    <w:rsid w:val="00820662"/>
    <w:rsid w:val="008211D9"/>
    <w:rsid w:val="00824650"/>
    <w:rsid w:val="00833847"/>
    <w:rsid w:val="008338C8"/>
    <w:rsid w:val="008470C4"/>
    <w:rsid w:val="00847183"/>
    <w:rsid w:val="00870403"/>
    <w:rsid w:val="00872C58"/>
    <w:rsid w:val="00880D82"/>
    <w:rsid w:val="00892628"/>
    <w:rsid w:val="008934E6"/>
    <w:rsid w:val="008A0487"/>
    <w:rsid w:val="008A105F"/>
    <w:rsid w:val="008A18A4"/>
    <w:rsid w:val="008A1BAD"/>
    <w:rsid w:val="008B46C0"/>
    <w:rsid w:val="008C3DA4"/>
    <w:rsid w:val="008D08DA"/>
    <w:rsid w:val="008D09E3"/>
    <w:rsid w:val="008D23F0"/>
    <w:rsid w:val="008F760C"/>
    <w:rsid w:val="009021D0"/>
    <w:rsid w:val="009129C2"/>
    <w:rsid w:val="00916898"/>
    <w:rsid w:val="00916ADE"/>
    <w:rsid w:val="009221EF"/>
    <w:rsid w:val="00925D19"/>
    <w:rsid w:val="00926CA2"/>
    <w:rsid w:val="0093208E"/>
    <w:rsid w:val="00937D7E"/>
    <w:rsid w:val="00940BC7"/>
    <w:rsid w:val="00952224"/>
    <w:rsid w:val="009565C0"/>
    <w:rsid w:val="00957A18"/>
    <w:rsid w:val="00964DC1"/>
    <w:rsid w:val="00965241"/>
    <w:rsid w:val="00965306"/>
    <w:rsid w:val="009667AD"/>
    <w:rsid w:val="009748F1"/>
    <w:rsid w:val="0098521C"/>
    <w:rsid w:val="0099031F"/>
    <w:rsid w:val="00995342"/>
    <w:rsid w:val="009A658C"/>
    <w:rsid w:val="009B33DC"/>
    <w:rsid w:val="009C163A"/>
    <w:rsid w:val="009C1C9C"/>
    <w:rsid w:val="009C688A"/>
    <w:rsid w:val="009C699E"/>
    <w:rsid w:val="009D381D"/>
    <w:rsid w:val="009D5690"/>
    <w:rsid w:val="009D7696"/>
    <w:rsid w:val="009E5364"/>
    <w:rsid w:val="009F63A7"/>
    <w:rsid w:val="009F7F28"/>
    <w:rsid w:val="00A0067B"/>
    <w:rsid w:val="00A06793"/>
    <w:rsid w:val="00A07F71"/>
    <w:rsid w:val="00A131DB"/>
    <w:rsid w:val="00A16E4C"/>
    <w:rsid w:val="00A20853"/>
    <w:rsid w:val="00A22DC3"/>
    <w:rsid w:val="00A261A3"/>
    <w:rsid w:val="00A3350D"/>
    <w:rsid w:val="00A40321"/>
    <w:rsid w:val="00A40B24"/>
    <w:rsid w:val="00A41513"/>
    <w:rsid w:val="00A440A9"/>
    <w:rsid w:val="00A44D41"/>
    <w:rsid w:val="00A45254"/>
    <w:rsid w:val="00A55504"/>
    <w:rsid w:val="00A6151E"/>
    <w:rsid w:val="00A751DA"/>
    <w:rsid w:val="00A823E1"/>
    <w:rsid w:val="00A846DB"/>
    <w:rsid w:val="00AA0D0A"/>
    <w:rsid w:val="00AA3FF2"/>
    <w:rsid w:val="00AA5C89"/>
    <w:rsid w:val="00AB3B67"/>
    <w:rsid w:val="00AB50EA"/>
    <w:rsid w:val="00AB7099"/>
    <w:rsid w:val="00AC6E9D"/>
    <w:rsid w:val="00AE739F"/>
    <w:rsid w:val="00AE7890"/>
    <w:rsid w:val="00AF1684"/>
    <w:rsid w:val="00AF1C62"/>
    <w:rsid w:val="00AF4266"/>
    <w:rsid w:val="00B03B5C"/>
    <w:rsid w:val="00B106D4"/>
    <w:rsid w:val="00B1367C"/>
    <w:rsid w:val="00B15C02"/>
    <w:rsid w:val="00B222E3"/>
    <w:rsid w:val="00B225BE"/>
    <w:rsid w:val="00B34B3A"/>
    <w:rsid w:val="00B43600"/>
    <w:rsid w:val="00B45658"/>
    <w:rsid w:val="00B47B13"/>
    <w:rsid w:val="00B500B0"/>
    <w:rsid w:val="00B554CF"/>
    <w:rsid w:val="00B56782"/>
    <w:rsid w:val="00B63E52"/>
    <w:rsid w:val="00B67D28"/>
    <w:rsid w:val="00B72264"/>
    <w:rsid w:val="00B80D09"/>
    <w:rsid w:val="00B832EC"/>
    <w:rsid w:val="00B86309"/>
    <w:rsid w:val="00B930AB"/>
    <w:rsid w:val="00B941AA"/>
    <w:rsid w:val="00B97B42"/>
    <w:rsid w:val="00BC063F"/>
    <w:rsid w:val="00BC6BA6"/>
    <w:rsid w:val="00BD6FD4"/>
    <w:rsid w:val="00BE180F"/>
    <w:rsid w:val="00BE62E4"/>
    <w:rsid w:val="00BE66B7"/>
    <w:rsid w:val="00BF6577"/>
    <w:rsid w:val="00C02172"/>
    <w:rsid w:val="00C02B3C"/>
    <w:rsid w:val="00C14C8D"/>
    <w:rsid w:val="00C2481A"/>
    <w:rsid w:val="00C43833"/>
    <w:rsid w:val="00C44794"/>
    <w:rsid w:val="00C471CA"/>
    <w:rsid w:val="00C473BC"/>
    <w:rsid w:val="00C519AD"/>
    <w:rsid w:val="00C53BF7"/>
    <w:rsid w:val="00C571A0"/>
    <w:rsid w:val="00C65466"/>
    <w:rsid w:val="00C74CD1"/>
    <w:rsid w:val="00C85DCC"/>
    <w:rsid w:val="00CB16BD"/>
    <w:rsid w:val="00CB3C35"/>
    <w:rsid w:val="00CC0B4B"/>
    <w:rsid w:val="00CC0CCB"/>
    <w:rsid w:val="00CD7871"/>
    <w:rsid w:val="00CF0FDE"/>
    <w:rsid w:val="00CF652F"/>
    <w:rsid w:val="00D00A9A"/>
    <w:rsid w:val="00D00DE1"/>
    <w:rsid w:val="00D01C13"/>
    <w:rsid w:val="00D02177"/>
    <w:rsid w:val="00D03BA2"/>
    <w:rsid w:val="00D079BA"/>
    <w:rsid w:val="00D13977"/>
    <w:rsid w:val="00D32627"/>
    <w:rsid w:val="00D535BE"/>
    <w:rsid w:val="00D60BA7"/>
    <w:rsid w:val="00D63435"/>
    <w:rsid w:val="00D6496F"/>
    <w:rsid w:val="00D75168"/>
    <w:rsid w:val="00D7620B"/>
    <w:rsid w:val="00D90A29"/>
    <w:rsid w:val="00D90A4E"/>
    <w:rsid w:val="00DA2882"/>
    <w:rsid w:val="00DB0C9A"/>
    <w:rsid w:val="00DB3BEB"/>
    <w:rsid w:val="00DB5647"/>
    <w:rsid w:val="00DC3358"/>
    <w:rsid w:val="00DD3C6F"/>
    <w:rsid w:val="00DD6DE6"/>
    <w:rsid w:val="00DE1569"/>
    <w:rsid w:val="00DE3180"/>
    <w:rsid w:val="00DE6A4D"/>
    <w:rsid w:val="00DF0718"/>
    <w:rsid w:val="00E14077"/>
    <w:rsid w:val="00E174EA"/>
    <w:rsid w:val="00E27BE5"/>
    <w:rsid w:val="00E27FB0"/>
    <w:rsid w:val="00E4485D"/>
    <w:rsid w:val="00E47DD9"/>
    <w:rsid w:val="00E55C59"/>
    <w:rsid w:val="00E675A8"/>
    <w:rsid w:val="00E82053"/>
    <w:rsid w:val="00E82E38"/>
    <w:rsid w:val="00E90718"/>
    <w:rsid w:val="00E94D10"/>
    <w:rsid w:val="00EA0217"/>
    <w:rsid w:val="00EA5120"/>
    <w:rsid w:val="00EA7DCF"/>
    <w:rsid w:val="00EB2A43"/>
    <w:rsid w:val="00EB4599"/>
    <w:rsid w:val="00EC00BE"/>
    <w:rsid w:val="00EC1D75"/>
    <w:rsid w:val="00EC4BAE"/>
    <w:rsid w:val="00ED5B0E"/>
    <w:rsid w:val="00ED7D81"/>
    <w:rsid w:val="00EE09C2"/>
    <w:rsid w:val="00EF0D2D"/>
    <w:rsid w:val="00EF27BD"/>
    <w:rsid w:val="00F069D9"/>
    <w:rsid w:val="00F146C4"/>
    <w:rsid w:val="00F1558C"/>
    <w:rsid w:val="00F24330"/>
    <w:rsid w:val="00F31BB5"/>
    <w:rsid w:val="00F4089B"/>
    <w:rsid w:val="00F41E7B"/>
    <w:rsid w:val="00F4570F"/>
    <w:rsid w:val="00F464FB"/>
    <w:rsid w:val="00F74017"/>
    <w:rsid w:val="00F82261"/>
    <w:rsid w:val="00F8260F"/>
    <w:rsid w:val="00F93645"/>
    <w:rsid w:val="00F9511D"/>
    <w:rsid w:val="00FA1379"/>
    <w:rsid w:val="00FA1F84"/>
    <w:rsid w:val="00FA714A"/>
    <w:rsid w:val="00FB03E0"/>
    <w:rsid w:val="00FB334C"/>
    <w:rsid w:val="00FB7161"/>
    <w:rsid w:val="00FC04EC"/>
    <w:rsid w:val="00FC1B5D"/>
    <w:rsid w:val="00FC246E"/>
    <w:rsid w:val="00FC2944"/>
    <w:rsid w:val="00FC3D54"/>
    <w:rsid w:val="00FC5C22"/>
    <w:rsid w:val="00FC7936"/>
    <w:rsid w:val="00FC7AD4"/>
    <w:rsid w:val="00FD017F"/>
    <w:rsid w:val="00FD0205"/>
    <w:rsid w:val="00FD03A8"/>
    <w:rsid w:val="00FE31A3"/>
    <w:rsid w:val="00FE336D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28B2-D4B2-40F3-A11B-4F940F1E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C7E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4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5D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25D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5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495D0C"/>
    <w:rPr>
      <w:b/>
      <w:bCs/>
      <w:color w:val="26282F"/>
    </w:rPr>
  </w:style>
  <w:style w:type="character" w:customStyle="1" w:styleId="30">
    <w:name w:val="Заголовок 3 Знак"/>
    <w:basedOn w:val="a0"/>
    <w:link w:val="3"/>
    <w:uiPriority w:val="9"/>
    <w:rsid w:val="007C7E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C7EC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EC4BAE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4BAE"/>
    <w:pPr>
      <w:widowControl w:val="0"/>
      <w:shd w:val="clear" w:color="auto" w:fill="FFFFFF"/>
      <w:spacing w:after="420" w:line="0" w:lineRule="atLeast"/>
      <w:jc w:val="righ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21">
    <w:name w:val="Заголовок №2_"/>
    <w:basedOn w:val="a0"/>
    <w:link w:val="22"/>
    <w:rsid w:val="000B0553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"/>
    <w:rsid w:val="000B055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0B0553"/>
    <w:pPr>
      <w:widowControl w:val="0"/>
      <w:shd w:val="clear" w:color="auto" w:fill="FFFFFF"/>
      <w:spacing w:before="420" w:line="320" w:lineRule="exact"/>
      <w:jc w:val="center"/>
      <w:outlineLvl w:val="1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803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0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3CA7-374B-4877-BB2B-442E9E50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4</cp:revision>
  <cp:lastPrinted>2019-01-24T07:09:00Z</cp:lastPrinted>
  <dcterms:created xsi:type="dcterms:W3CDTF">2019-01-24T06:49:00Z</dcterms:created>
  <dcterms:modified xsi:type="dcterms:W3CDTF">2019-02-04T12:00:00Z</dcterms:modified>
</cp:coreProperties>
</file>