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BC5" w:rsidRPr="00056B86" w:rsidRDefault="000F1BC5" w:rsidP="000F1BC5">
      <w:pPr>
        <w:jc w:val="center"/>
        <w:rPr>
          <w:b/>
          <w:szCs w:val="28"/>
        </w:rPr>
      </w:pPr>
      <w:r w:rsidRPr="00056B86">
        <w:rPr>
          <w:b/>
          <w:szCs w:val="28"/>
        </w:rPr>
        <w:t>Основные направления налоговой политики Тверской области</w:t>
      </w:r>
    </w:p>
    <w:p w:rsidR="000F1BC5" w:rsidRPr="00056B86" w:rsidRDefault="000F1BC5" w:rsidP="000F1BC5">
      <w:pPr>
        <w:jc w:val="center"/>
        <w:rPr>
          <w:b/>
          <w:szCs w:val="28"/>
        </w:rPr>
      </w:pPr>
      <w:r w:rsidRPr="00056B86">
        <w:rPr>
          <w:b/>
          <w:szCs w:val="28"/>
        </w:rPr>
        <w:t>на 2016 год и на плановый период 2017 и 2018 годов</w:t>
      </w:r>
    </w:p>
    <w:p w:rsidR="000F1BC5" w:rsidRPr="00056B86" w:rsidRDefault="000F1BC5" w:rsidP="000F1BC5">
      <w:pPr>
        <w:jc w:val="center"/>
        <w:rPr>
          <w:b/>
          <w:szCs w:val="28"/>
        </w:rPr>
      </w:pPr>
    </w:p>
    <w:p w:rsidR="000F1BC5" w:rsidRDefault="000F1BC5" w:rsidP="000F1BC5">
      <w:pPr>
        <w:tabs>
          <w:tab w:val="num" w:pos="1083"/>
        </w:tabs>
        <w:ind w:firstLine="709"/>
        <w:jc w:val="both"/>
        <w:rPr>
          <w:szCs w:val="28"/>
        </w:rPr>
      </w:pPr>
      <w:proofErr w:type="gramStart"/>
      <w:r w:rsidRPr="00056B86">
        <w:rPr>
          <w:szCs w:val="28"/>
        </w:rPr>
        <w:t>Основные направления налоговой политики Тверской области (далее – основные направления) сформированы в соответствии с Посланием Президента Российской Федерации Федеральному Собранию, Основными на</w:t>
      </w:r>
      <w:r>
        <w:rPr>
          <w:szCs w:val="28"/>
        </w:rPr>
        <w:t xml:space="preserve">правлениями налоговой политики </w:t>
      </w:r>
      <w:r w:rsidRPr="00056B86">
        <w:rPr>
          <w:szCs w:val="28"/>
        </w:rPr>
        <w:t>Российской Федерации на 2016 год и плановый период 2017 и 2018 годов, Посланием Губернатора Тверской области Законодательному Собранию Тверской области</w:t>
      </w:r>
      <w:r>
        <w:rPr>
          <w:szCs w:val="28"/>
        </w:rPr>
        <w:t>.</w:t>
      </w:r>
      <w:proofErr w:type="gramEnd"/>
    </w:p>
    <w:p w:rsidR="000F1BC5" w:rsidRPr="00056B86" w:rsidRDefault="000F1BC5" w:rsidP="000F1BC5">
      <w:pPr>
        <w:tabs>
          <w:tab w:val="num" w:pos="1083"/>
        </w:tabs>
        <w:ind w:firstLine="709"/>
        <w:jc w:val="both"/>
        <w:rPr>
          <w:szCs w:val="28"/>
        </w:rPr>
      </w:pPr>
      <w:r w:rsidRPr="00056B86">
        <w:rPr>
          <w:szCs w:val="28"/>
        </w:rPr>
        <w:t xml:space="preserve">Основными </w:t>
      </w:r>
      <w:r w:rsidR="002F7E9B">
        <w:rPr>
          <w:szCs w:val="28"/>
        </w:rPr>
        <w:t xml:space="preserve">задачами </w:t>
      </w:r>
      <w:r w:rsidRPr="00056B86">
        <w:rPr>
          <w:szCs w:val="28"/>
        </w:rPr>
        <w:t>налоговой политики являются обеспечение прочной финансовой базы, повышение налоговых доходов регионального бюджета, введение налогообложения недвижимости на основе кадастровой оценки, проведение оценки эффективности предоставляемых на уровне региона преференций.</w:t>
      </w:r>
    </w:p>
    <w:p w:rsidR="000F1BC5" w:rsidRPr="00056B86" w:rsidRDefault="000F1BC5" w:rsidP="000F1BC5">
      <w:pPr>
        <w:ind w:firstLine="709"/>
        <w:jc w:val="center"/>
        <w:rPr>
          <w:b/>
          <w:szCs w:val="28"/>
        </w:rPr>
      </w:pPr>
    </w:p>
    <w:p w:rsidR="000F1BC5" w:rsidRPr="00056B86" w:rsidRDefault="000F1BC5" w:rsidP="000F1BC5">
      <w:pPr>
        <w:ind w:firstLine="709"/>
        <w:jc w:val="center"/>
        <w:rPr>
          <w:b/>
          <w:szCs w:val="28"/>
        </w:rPr>
      </w:pPr>
      <w:r>
        <w:rPr>
          <w:b/>
          <w:szCs w:val="28"/>
        </w:rPr>
        <w:t xml:space="preserve">Раздел </w:t>
      </w:r>
      <w:r w:rsidRPr="00056B86">
        <w:rPr>
          <w:b/>
          <w:szCs w:val="28"/>
          <w:lang w:val="en-US"/>
        </w:rPr>
        <w:t>I</w:t>
      </w:r>
      <w:r>
        <w:rPr>
          <w:b/>
          <w:szCs w:val="28"/>
        </w:rPr>
        <w:t xml:space="preserve">. </w:t>
      </w:r>
      <w:r w:rsidRPr="00056B86">
        <w:rPr>
          <w:b/>
          <w:szCs w:val="28"/>
        </w:rPr>
        <w:t xml:space="preserve">Налоговая нагрузка </w:t>
      </w:r>
    </w:p>
    <w:p w:rsidR="000F1BC5" w:rsidRPr="00056B86" w:rsidRDefault="000F1BC5" w:rsidP="000F1BC5">
      <w:pPr>
        <w:ind w:firstLine="709"/>
        <w:jc w:val="center"/>
        <w:rPr>
          <w:b/>
          <w:szCs w:val="28"/>
        </w:rPr>
      </w:pPr>
    </w:p>
    <w:p w:rsidR="000F1BC5" w:rsidRPr="00056B86" w:rsidRDefault="000F1BC5" w:rsidP="000F1BC5">
      <w:pPr>
        <w:ind w:firstLine="709"/>
        <w:jc w:val="both"/>
        <w:rPr>
          <w:b/>
          <w:szCs w:val="28"/>
        </w:rPr>
      </w:pPr>
      <w:r w:rsidRPr="00056B86">
        <w:rPr>
          <w:b/>
          <w:szCs w:val="28"/>
        </w:rPr>
        <w:t>1.</w:t>
      </w:r>
      <w:r>
        <w:rPr>
          <w:b/>
          <w:szCs w:val="28"/>
        </w:rPr>
        <w:t>1.</w:t>
      </w:r>
      <w:r w:rsidRPr="00056B86">
        <w:rPr>
          <w:b/>
          <w:szCs w:val="28"/>
        </w:rPr>
        <w:t xml:space="preserve"> Налоговая нагрузка и особенности формирования доходной базы</w:t>
      </w:r>
    </w:p>
    <w:p w:rsidR="000F1BC5" w:rsidRPr="00056B86" w:rsidRDefault="000F1BC5" w:rsidP="000F1BC5">
      <w:pPr>
        <w:ind w:firstLine="709"/>
        <w:jc w:val="both"/>
        <w:rPr>
          <w:szCs w:val="28"/>
        </w:rPr>
      </w:pPr>
      <w:r w:rsidRPr="00056B86">
        <w:rPr>
          <w:szCs w:val="28"/>
        </w:rPr>
        <w:t>В таблице 1 приведено соотношение объема налоговых дохо</w:t>
      </w:r>
      <w:r>
        <w:rPr>
          <w:szCs w:val="28"/>
        </w:rPr>
        <w:t xml:space="preserve">дов консолидированного бюджета </w:t>
      </w:r>
      <w:r w:rsidRPr="00056B86">
        <w:rPr>
          <w:szCs w:val="28"/>
        </w:rPr>
        <w:t>к валовому региональному продукту (ВРП) Тверской области.</w:t>
      </w:r>
    </w:p>
    <w:p w:rsidR="000F1BC5" w:rsidRPr="006D4727" w:rsidRDefault="000F1BC5" w:rsidP="000F1BC5">
      <w:pPr>
        <w:ind w:firstLine="709"/>
        <w:jc w:val="right"/>
        <w:rPr>
          <w:szCs w:val="28"/>
        </w:rPr>
      </w:pPr>
      <w:r w:rsidRPr="006D4727">
        <w:rPr>
          <w:szCs w:val="28"/>
        </w:rPr>
        <w:t>Таблица 1</w:t>
      </w:r>
    </w:p>
    <w:p w:rsidR="000F1BC5" w:rsidRPr="006D4727" w:rsidRDefault="000F1BC5" w:rsidP="000F1BC5">
      <w:pPr>
        <w:ind w:firstLine="709"/>
        <w:jc w:val="center"/>
        <w:rPr>
          <w:b/>
          <w:szCs w:val="28"/>
        </w:rPr>
      </w:pPr>
      <w:r w:rsidRPr="006D4727">
        <w:rPr>
          <w:b/>
          <w:szCs w:val="28"/>
        </w:rPr>
        <w:t xml:space="preserve">Налоговые доходы консолидированного </w:t>
      </w:r>
      <w:r>
        <w:rPr>
          <w:b/>
          <w:szCs w:val="28"/>
        </w:rPr>
        <w:t>бюджета Тверской области в 20</w:t>
      </w:r>
      <w:r w:rsidRPr="00370215">
        <w:rPr>
          <w:b/>
          <w:szCs w:val="28"/>
        </w:rPr>
        <w:t>10</w:t>
      </w:r>
      <w:r w:rsidRPr="006D4727">
        <w:rPr>
          <w:b/>
          <w:szCs w:val="28"/>
        </w:rPr>
        <w:t xml:space="preserve"> - 2014 гг.</w:t>
      </w:r>
    </w:p>
    <w:p w:rsidR="000F1BC5" w:rsidRPr="00F50D59" w:rsidRDefault="000F1BC5" w:rsidP="000F1BC5">
      <w:pPr>
        <w:ind w:firstLine="709"/>
        <w:jc w:val="center"/>
        <w:rPr>
          <w:sz w:val="24"/>
          <w:szCs w:val="24"/>
        </w:rPr>
      </w:pPr>
      <w:r w:rsidRPr="006D4727">
        <w:rPr>
          <w:b/>
          <w:sz w:val="24"/>
          <w:szCs w:val="24"/>
        </w:rPr>
        <w:t xml:space="preserve">                                                                                </w:t>
      </w:r>
      <w:r>
        <w:rPr>
          <w:b/>
          <w:sz w:val="24"/>
          <w:szCs w:val="24"/>
        </w:rPr>
        <w:t xml:space="preserve">                                          </w:t>
      </w:r>
      <w:r w:rsidRPr="00EE518B">
        <w:rPr>
          <w:b/>
          <w:sz w:val="24"/>
          <w:szCs w:val="24"/>
        </w:rPr>
        <w:t xml:space="preserve">    </w:t>
      </w:r>
      <w:r w:rsidRPr="00F50D59">
        <w:rPr>
          <w:sz w:val="24"/>
          <w:szCs w:val="24"/>
        </w:rPr>
        <w:t>млн. руб.</w:t>
      </w:r>
    </w:p>
    <w:tbl>
      <w:tblPr>
        <w:tblW w:w="9825" w:type="dxa"/>
        <w:tblInd w:w="98" w:type="dxa"/>
        <w:tblLayout w:type="fixed"/>
        <w:tblLook w:val="00A0" w:firstRow="1" w:lastRow="0" w:firstColumn="1" w:lastColumn="0" w:noHBand="0" w:noVBand="0"/>
      </w:tblPr>
      <w:tblGrid>
        <w:gridCol w:w="9825"/>
      </w:tblGrid>
      <w:tr w:rsidR="000F1BC5" w:rsidRPr="00056B86" w:rsidTr="005743F3">
        <w:trPr>
          <w:trHeight w:val="525"/>
        </w:trPr>
        <w:tc>
          <w:tcPr>
            <w:tcW w:w="9825" w:type="dxa"/>
            <w:vAlign w:val="center"/>
          </w:tcPr>
          <w:tbl>
            <w:tblPr>
              <w:tblW w:w="9356" w:type="dxa"/>
              <w:tblLayout w:type="fixed"/>
              <w:tblLook w:val="00A0" w:firstRow="1" w:lastRow="0" w:firstColumn="1" w:lastColumn="0" w:noHBand="0" w:noVBand="0"/>
            </w:tblPr>
            <w:tblGrid>
              <w:gridCol w:w="2835"/>
              <w:gridCol w:w="1276"/>
              <w:gridCol w:w="1276"/>
              <w:gridCol w:w="1417"/>
              <w:gridCol w:w="1276"/>
              <w:gridCol w:w="1276"/>
            </w:tblGrid>
            <w:tr w:rsidR="000F1BC5" w:rsidRPr="00056B86" w:rsidTr="005743F3">
              <w:trPr>
                <w:trHeight w:val="525"/>
              </w:trPr>
              <w:tc>
                <w:tcPr>
                  <w:tcW w:w="2835" w:type="dxa"/>
                  <w:tcBorders>
                    <w:top w:val="single" w:sz="8" w:space="0" w:color="auto"/>
                    <w:left w:val="single" w:sz="4" w:space="0" w:color="auto"/>
                    <w:bottom w:val="nil"/>
                    <w:right w:val="single" w:sz="4" w:space="0" w:color="auto"/>
                  </w:tcBorders>
                  <w:vAlign w:val="center"/>
                </w:tcPr>
                <w:p w:rsidR="000F1BC5" w:rsidRPr="00056B86" w:rsidRDefault="000F1BC5" w:rsidP="005743F3">
                  <w:pPr>
                    <w:jc w:val="center"/>
                    <w:rPr>
                      <w:b/>
                      <w:bCs/>
                      <w:sz w:val="20"/>
                    </w:rPr>
                  </w:pPr>
                  <w:r w:rsidRPr="00056B86">
                    <w:rPr>
                      <w:b/>
                      <w:bCs/>
                      <w:sz w:val="20"/>
                    </w:rPr>
                    <w:t>Наименование</w:t>
                  </w:r>
                </w:p>
              </w:tc>
              <w:tc>
                <w:tcPr>
                  <w:tcW w:w="1276" w:type="dxa"/>
                  <w:tcBorders>
                    <w:top w:val="single" w:sz="8" w:space="0" w:color="auto"/>
                    <w:left w:val="nil"/>
                    <w:bottom w:val="nil"/>
                    <w:right w:val="single" w:sz="4" w:space="0" w:color="auto"/>
                  </w:tcBorders>
                  <w:vAlign w:val="center"/>
                </w:tcPr>
                <w:p w:rsidR="000F1BC5" w:rsidRPr="00056B86" w:rsidRDefault="000F1BC5" w:rsidP="005743F3">
                  <w:pPr>
                    <w:jc w:val="center"/>
                    <w:rPr>
                      <w:b/>
                      <w:bCs/>
                      <w:sz w:val="20"/>
                    </w:rPr>
                  </w:pPr>
                  <w:r w:rsidRPr="00056B86">
                    <w:rPr>
                      <w:b/>
                      <w:bCs/>
                      <w:sz w:val="20"/>
                    </w:rPr>
                    <w:t>2010 год факт</w:t>
                  </w:r>
                </w:p>
              </w:tc>
              <w:tc>
                <w:tcPr>
                  <w:tcW w:w="1276" w:type="dxa"/>
                  <w:tcBorders>
                    <w:top w:val="single" w:sz="8" w:space="0" w:color="auto"/>
                    <w:left w:val="nil"/>
                    <w:bottom w:val="nil"/>
                    <w:right w:val="single" w:sz="4" w:space="0" w:color="auto"/>
                  </w:tcBorders>
                  <w:vAlign w:val="center"/>
                </w:tcPr>
                <w:p w:rsidR="000F1BC5" w:rsidRPr="00056B86" w:rsidRDefault="000F1BC5" w:rsidP="005743F3">
                  <w:pPr>
                    <w:jc w:val="center"/>
                    <w:rPr>
                      <w:b/>
                      <w:bCs/>
                      <w:sz w:val="20"/>
                    </w:rPr>
                  </w:pPr>
                  <w:r w:rsidRPr="00056B86">
                    <w:rPr>
                      <w:b/>
                      <w:bCs/>
                      <w:sz w:val="20"/>
                    </w:rPr>
                    <w:t>2011 год факт</w:t>
                  </w:r>
                </w:p>
              </w:tc>
              <w:tc>
                <w:tcPr>
                  <w:tcW w:w="1417" w:type="dxa"/>
                  <w:tcBorders>
                    <w:top w:val="single" w:sz="8" w:space="0" w:color="auto"/>
                    <w:left w:val="nil"/>
                    <w:bottom w:val="nil"/>
                    <w:right w:val="single" w:sz="4" w:space="0" w:color="auto"/>
                  </w:tcBorders>
                  <w:vAlign w:val="center"/>
                </w:tcPr>
                <w:p w:rsidR="000F1BC5" w:rsidRPr="00056B86" w:rsidRDefault="000F1BC5" w:rsidP="005743F3">
                  <w:pPr>
                    <w:jc w:val="center"/>
                    <w:rPr>
                      <w:b/>
                      <w:bCs/>
                      <w:sz w:val="20"/>
                    </w:rPr>
                  </w:pPr>
                  <w:r w:rsidRPr="00056B86">
                    <w:rPr>
                      <w:b/>
                      <w:bCs/>
                      <w:sz w:val="20"/>
                    </w:rPr>
                    <w:t>2012 год факт</w:t>
                  </w:r>
                </w:p>
              </w:tc>
              <w:tc>
                <w:tcPr>
                  <w:tcW w:w="1276" w:type="dxa"/>
                  <w:tcBorders>
                    <w:top w:val="single" w:sz="8" w:space="0" w:color="auto"/>
                    <w:left w:val="nil"/>
                    <w:bottom w:val="nil"/>
                    <w:right w:val="single" w:sz="4" w:space="0" w:color="auto"/>
                  </w:tcBorders>
                  <w:vAlign w:val="center"/>
                </w:tcPr>
                <w:p w:rsidR="000F1BC5" w:rsidRPr="00056B86" w:rsidRDefault="000F1BC5" w:rsidP="005743F3">
                  <w:pPr>
                    <w:jc w:val="center"/>
                    <w:rPr>
                      <w:b/>
                      <w:bCs/>
                      <w:sz w:val="20"/>
                    </w:rPr>
                  </w:pPr>
                  <w:r w:rsidRPr="00056B86">
                    <w:rPr>
                      <w:b/>
                      <w:bCs/>
                      <w:sz w:val="20"/>
                    </w:rPr>
                    <w:t>2013 год факт</w:t>
                  </w:r>
                </w:p>
              </w:tc>
              <w:tc>
                <w:tcPr>
                  <w:tcW w:w="1276" w:type="dxa"/>
                  <w:tcBorders>
                    <w:top w:val="single" w:sz="8" w:space="0" w:color="auto"/>
                    <w:left w:val="nil"/>
                    <w:bottom w:val="nil"/>
                    <w:right w:val="single" w:sz="4" w:space="0" w:color="auto"/>
                  </w:tcBorders>
                  <w:vAlign w:val="center"/>
                </w:tcPr>
                <w:p w:rsidR="000F1BC5" w:rsidRPr="00056B86" w:rsidRDefault="000F1BC5" w:rsidP="005743F3">
                  <w:pPr>
                    <w:jc w:val="center"/>
                    <w:rPr>
                      <w:b/>
                      <w:bCs/>
                      <w:sz w:val="20"/>
                    </w:rPr>
                  </w:pPr>
                  <w:r w:rsidRPr="00056B86">
                    <w:rPr>
                      <w:b/>
                      <w:bCs/>
                      <w:sz w:val="20"/>
                    </w:rPr>
                    <w:t>2014 год</w:t>
                  </w:r>
                </w:p>
                <w:p w:rsidR="000F1BC5" w:rsidRPr="00056B86" w:rsidRDefault="000F1BC5" w:rsidP="005743F3">
                  <w:pPr>
                    <w:jc w:val="center"/>
                    <w:rPr>
                      <w:b/>
                      <w:bCs/>
                      <w:sz w:val="20"/>
                    </w:rPr>
                  </w:pPr>
                  <w:r w:rsidRPr="00056B86">
                    <w:rPr>
                      <w:b/>
                      <w:bCs/>
                      <w:sz w:val="20"/>
                    </w:rPr>
                    <w:t>факт</w:t>
                  </w:r>
                </w:p>
              </w:tc>
            </w:tr>
            <w:tr w:rsidR="000F1BC5" w:rsidRPr="00056B86" w:rsidTr="005743F3">
              <w:trPr>
                <w:trHeight w:val="525"/>
              </w:trPr>
              <w:tc>
                <w:tcPr>
                  <w:tcW w:w="2835" w:type="dxa"/>
                  <w:tcBorders>
                    <w:top w:val="single" w:sz="8" w:space="0" w:color="auto"/>
                    <w:left w:val="single" w:sz="4" w:space="0" w:color="auto"/>
                    <w:bottom w:val="single" w:sz="8" w:space="0" w:color="auto"/>
                    <w:right w:val="single" w:sz="4" w:space="0" w:color="auto"/>
                  </w:tcBorders>
                </w:tcPr>
                <w:p w:rsidR="000F1BC5" w:rsidRPr="009C47CF" w:rsidRDefault="000F1BC5" w:rsidP="005743F3">
                  <w:pPr>
                    <w:rPr>
                      <w:sz w:val="20"/>
                    </w:rPr>
                  </w:pPr>
                  <w:r w:rsidRPr="009C47CF">
                    <w:rPr>
                      <w:sz w:val="20"/>
                    </w:rPr>
                    <w:t>Валовой региональный продукт (ВРП) по Тверской области</w:t>
                  </w:r>
                </w:p>
              </w:tc>
              <w:tc>
                <w:tcPr>
                  <w:tcW w:w="1276" w:type="dxa"/>
                  <w:tcBorders>
                    <w:top w:val="single" w:sz="8" w:space="0" w:color="auto"/>
                    <w:left w:val="nil"/>
                    <w:bottom w:val="single" w:sz="8" w:space="0" w:color="auto"/>
                    <w:right w:val="single" w:sz="4" w:space="0" w:color="auto"/>
                  </w:tcBorders>
                  <w:vAlign w:val="center"/>
                </w:tcPr>
                <w:p w:rsidR="000F1BC5" w:rsidRPr="009C47CF" w:rsidRDefault="000F1BC5" w:rsidP="005743F3">
                  <w:pPr>
                    <w:jc w:val="center"/>
                    <w:rPr>
                      <w:sz w:val="20"/>
                    </w:rPr>
                  </w:pPr>
                  <w:r w:rsidRPr="009C47CF">
                    <w:rPr>
                      <w:sz w:val="20"/>
                    </w:rPr>
                    <w:t>219 004,9</w:t>
                  </w:r>
                </w:p>
              </w:tc>
              <w:tc>
                <w:tcPr>
                  <w:tcW w:w="1276" w:type="dxa"/>
                  <w:tcBorders>
                    <w:top w:val="single" w:sz="8" w:space="0" w:color="auto"/>
                    <w:left w:val="nil"/>
                    <w:bottom w:val="single" w:sz="8" w:space="0" w:color="auto"/>
                    <w:right w:val="single" w:sz="4" w:space="0" w:color="auto"/>
                  </w:tcBorders>
                  <w:noWrap/>
                  <w:vAlign w:val="center"/>
                </w:tcPr>
                <w:p w:rsidR="000F1BC5" w:rsidRPr="009C47CF" w:rsidRDefault="000F1BC5" w:rsidP="005743F3">
                  <w:pPr>
                    <w:jc w:val="center"/>
                    <w:rPr>
                      <w:sz w:val="20"/>
                    </w:rPr>
                  </w:pPr>
                  <w:r w:rsidRPr="009C47CF">
                    <w:rPr>
                      <w:sz w:val="20"/>
                    </w:rPr>
                    <w:t>255 073,0</w:t>
                  </w:r>
                </w:p>
              </w:tc>
              <w:tc>
                <w:tcPr>
                  <w:tcW w:w="1417" w:type="dxa"/>
                  <w:tcBorders>
                    <w:top w:val="single" w:sz="8" w:space="0" w:color="auto"/>
                    <w:left w:val="nil"/>
                    <w:bottom w:val="single" w:sz="8" w:space="0" w:color="auto"/>
                    <w:right w:val="single" w:sz="4" w:space="0" w:color="auto"/>
                  </w:tcBorders>
                  <w:noWrap/>
                  <w:vAlign w:val="center"/>
                </w:tcPr>
                <w:p w:rsidR="000F1BC5" w:rsidRPr="009C47CF" w:rsidRDefault="000F1BC5" w:rsidP="005743F3">
                  <w:pPr>
                    <w:jc w:val="center"/>
                    <w:rPr>
                      <w:sz w:val="20"/>
                    </w:rPr>
                  </w:pPr>
                  <w:r w:rsidRPr="009C47CF">
                    <w:rPr>
                      <w:sz w:val="20"/>
                    </w:rPr>
                    <w:t>267 639,0</w:t>
                  </w:r>
                </w:p>
              </w:tc>
              <w:tc>
                <w:tcPr>
                  <w:tcW w:w="1276" w:type="dxa"/>
                  <w:tcBorders>
                    <w:top w:val="single" w:sz="8" w:space="0" w:color="auto"/>
                    <w:left w:val="nil"/>
                    <w:bottom w:val="single" w:sz="8" w:space="0" w:color="auto"/>
                    <w:right w:val="single" w:sz="4" w:space="0" w:color="auto"/>
                  </w:tcBorders>
                  <w:noWrap/>
                  <w:vAlign w:val="center"/>
                </w:tcPr>
                <w:p w:rsidR="000F1BC5" w:rsidRPr="009C47CF" w:rsidRDefault="000F1BC5" w:rsidP="005743F3">
                  <w:pPr>
                    <w:jc w:val="center"/>
                    <w:rPr>
                      <w:sz w:val="20"/>
                      <w:lang w:val="en-US"/>
                    </w:rPr>
                  </w:pPr>
                  <w:r w:rsidRPr="009C47CF">
                    <w:rPr>
                      <w:sz w:val="20"/>
                    </w:rPr>
                    <w:t>2</w:t>
                  </w:r>
                  <w:r w:rsidRPr="009C47CF">
                    <w:rPr>
                      <w:sz w:val="20"/>
                      <w:lang w:val="en-US"/>
                    </w:rPr>
                    <w:t>91 408</w:t>
                  </w:r>
                  <w:r w:rsidRPr="009C47CF">
                    <w:rPr>
                      <w:sz w:val="20"/>
                    </w:rPr>
                    <w:t>,</w:t>
                  </w:r>
                  <w:r w:rsidRPr="009C47CF">
                    <w:rPr>
                      <w:sz w:val="20"/>
                      <w:lang w:val="en-US"/>
                    </w:rPr>
                    <w:t>1</w:t>
                  </w:r>
                </w:p>
              </w:tc>
              <w:tc>
                <w:tcPr>
                  <w:tcW w:w="1276" w:type="dxa"/>
                  <w:tcBorders>
                    <w:top w:val="single" w:sz="8" w:space="0" w:color="auto"/>
                    <w:left w:val="nil"/>
                    <w:bottom w:val="single" w:sz="8" w:space="0" w:color="auto"/>
                    <w:right w:val="single" w:sz="4" w:space="0" w:color="auto"/>
                  </w:tcBorders>
                  <w:vAlign w:val="center"/>
                </w:tcPr>
                <w:p w:rsidR="000F1BC5" w:rsidRPr="009C47CF" w:rsidRDefault="000F1BC5" w:rsidP="005743F3">
                  <w:pPr>
                    <w:jc w:val="center"/>
                    <w:rPr>
                      <w:sz w:val="20"/>
                    </w:rPr>
                  </w:pPr>
                  <w:r w:rsidRPr="009C47CF">
                    <w:rPr>
                      <w:sz w:val="20"/>
                      <w:lang w:val="en-US"/>
                    </w:rPr>
                    <w:t>311 681</w:t>
                  </w:r>
                  <w:r w:rsidRPr="009C47CF">
                    <w:rPr>
                      <w:sz w:val="20"/>
                    </w:rPr>
                    <w:t>,</w:t>
                  </w:r>
                  <w:r w:rsidRPr="009C47CF">
                    <w:rPr>
                      <w:sz w:val="20"/>
                      <w:lang w:val="en-US"/>
                    </w:rPr>
                    <w:t>0</w:t>
                  </w:r>
                  <w:r w:rsidRPr="009C47CF">
                    <w:rPr>
                      <w:sz w:val="20"/>
                    </w:rPr>
                    <w:t>*</w:t>
                  </w:r>
                </w:p>
              </w:tc>
            </w:tr>
            <w:tr w:rsidR="000F1BC5" w:rsidRPr="00056B86" w:rsidTr="005743F3">
              <w:trPr>
                <w:trHeight w:val="501"/>
              </w:trPr>
              <w:tc>
                <w:tcPr>
                  <w:tcW w:w="2835" w:type="dxa"/>
                  <w:tcBorders>
                    <w:top w:val="nil"/>
                    <w:left w:val="single" w:sz="4" w:space="0" w:color="auto"/>
                    <w:bottom w:val="single" w:sz="4" w:space="0" w:color="auto"/>
                    <w:right w:val="single" w:sz="4" w:space="0" w:color="auto"/>
                  </w:tcBorders>
                  <w:vAlign w:val="center"/>
                </w:tcPr>
                <w:p w:rsidR="000F1BC5" w:rsidRPr="009C47CF" w:rsidRDefault="000F1BC5" w:rsidP="005743F3">
                  <w:pPr>
                    <w:rPr>
                      <w:sz w:val="20"/>
                    </w:rPr>
                  </w:pPr>
                  <w:r w:rsidRPr="009C47CF">
                    <w:rPr>
                      <w:sz w:val="20"/>
                    </w:rPr>
                    <w:t>Налоговые доходы</w:t>
                  </w:r>
                </w:p>
              </w:tc>
              <w:tc>
                <w:tcPr>
                  <w:tcW w:w="1276" w:type="dxa"/>
                  <w:tcBorders>
                    <w:top w:val="nil"/>
                    <w:left w:val="nil"/>
                    <w:bottom w:val="single" w:sz="4" w:space="0" w:color="auto"/>
                    <w:right w:val="single" w:sz="4" w:space="0" w:color="auto"/>
                  </w:tcBorders>
                  <w:vAlign w:val="center"/>
                </w:tcPr>
                <w:p w:rsidR="000F1BC5" w:rsidRPr="009C47CF" w:rsidRDefault="000F1BC5" w:rsidP="005743F3">
                  <w:pPr>
                    <w:jc w:val="center"/>
                    <w:rPr>
                      <w:sz w:val="20"/>
                    </w:rPr>
                  </w:pPr>
                  <w:r w:rsidRPr="009C47CF">
                    <w:rPr>
                      <w:sz w:val="20"/>
                    </w:rPr>
                    <w:t>30 597,0</w:t>
                  </w:r>
                </w:p>
              </w:tc>
              <w:tc>
                <w:tcPr>
                  <w:tcW w:w="1276" w:type="dxa"/>
                  <w:tcBorders>
                    <w:top w:val="nil"/>
                    <w:left w:val="nil"/>
                    <w:bottom w:val="single" w:sz="4" w:space="0" w:color="auto"/>
                    <w:right w:val="single" w:sz="4" w:space="0" w:color="auto"/>
                  </w:tcBorders>
                  <w:vAlign w:val="center"/>
                </w:tcPr>
                <w:p w:rsidR="000F1BC5" w:rsidRPr="009C47CF" w:rsidRDefault="000F1BC5" w:rsidP="005743F3">
                  <w:pPr>
                    <w:jc w:val="center"/>
                    <w:rPr>
                      <w:sz w:val="20"/>
                    </w:rPr>
                  </w:pPr>
                  <w:r w:rsidRPr="009C47CF">
                    <w:rPr>
                      <w:sz w:val="20"/>
                    </w:rPr>
                    <w:t>32 918,2</w:t>
                  </w:r>
                </w:p>
              </w:tc>
              <w:tc>
                <w:tcPr>
                  <w:tcW w:w="1417" w:type="dxa"/>
                  <w:tcBorders>
                    <w:top w:val="nil"/>
                    <w:left w:val="nil"/>
                    <w:bottom w:val="single" w:sz="4" w:space="0" w:color="auto"/>
                    <w:right w:val="single" w:sz="4" w:space="0" w:color="auto"/>
                  </w:tcBorders>
                  <w:vAlign w:val="center"/>
                </w:tcPr>
                <w:p w:rsidR="000F1BC5" w:rsidRPr="009C47CF" w:rsidRDefault="000F1BC5" w:rsidP="005743F3">
                  <w:pPr>
                    <w:jc w:val="center"/>
                    <w:rPr>
                      <w:sz w:val="20"/>
                    </w:rPr>
                  </w:pPr>
                  <w:r w:rsidRPr="009C47CF">
                    <w:rPr>
                      <w:sz w:val="20"/>
                    </w:rPr>
                    <w:t>37 264,2</w:t>
                  </w:r>
                </w:p>
              </w:tc>
              <w:tc>
                <w:tcPr>
                  <w:tcW w:w="1276" w:type="dxa"/>
                  <w:tcBorders>
                    <w:top w:val="nil"/>
                    <w:left w:val="nil"/>
                    <w:bottom w:val="single" w:sz="4" w:space="0" w:color="auto"/>
                    <w:right w:val="single" w:sz="4" w:space="0" w:color="auto"/>
                  </w:tcBorders>
                  <w:vAlign w:val="center"/>
                </w:tcPr>
                <w:p w:rsidR="000F1BC5" w:rsidRPr="009C47CF" w:rsidRDefault="000F1BC5" w:rsidP="005743F3">
                  <w:pPr>
                    <w:jc w:val="center"/>
                    <w:rPr>
                      <w:sz w:val="20"/>
                    </w:rPr>
                  </w:pPr>
                  <w:r w:rsidRPr="009C47CF">
                    <w:rPr>
                      <w:sz w:val="20"/>
                    </w:rPr>
                    <w:t>42 242,4</w:t>
                  </w:r>
                </w:p>
              </w:tc>
              <w:tc>
                <w:tcPr>
                  <w:tcW w:w="1276" w:type="dxa"/>
                  <w:tcBorders>
                    <w:top w:val="nil"/>
                    <w:left w:val="nil"/>
                    <w:bottom w:val="single" w:sz="4" w:space="0" w:color="auto"/>
                    <w:right w:val="single" w:sz="4" w:space="0" w:color="auto"/>
                  </w:tcBorders>
                  <w:vAlign w:val="center"/>
                </w:tcPr>
                <w:p w:rsidR="000F1BC5" w:rsidRPr="009C47CF" w:rsidRDefault="000F1BC5" w:rsidP="005743F3">
                  <w:pPr>
                    <w:jc w:val="center"/>
                    <w:rPr>
                      <w:sz w:val="20"/>
                    </w:rPr>
                  </w:pPr>
                </w:p>
                <w:p w:rsidR="000F1BC5" w:rsidRPr="009C47CF" w:rsidRDefault="000F1BC5" w:rsidP="005743F3">
                  <w:pPr>
                    <w:jc w:val="center"/>
                    <w:rPr>
                      <w:sz w:val="20"/>
                    </w:rPr>
                  </w:pPr>
                  <w:r w:rsidRPr="009C47CF">
                    <w:rPr>
                      <w:sz w:val="20"/>
                    </w:rPr>
                    <w:t>43 587,3</w:t>
                  </w:r>
                </w:p>
                <w:p w:rsidR="000F1BC5" w:rsidRPr="009C47CF" w:rsidRDefault="000F1BC5" w:rsidP="005743F3">
                  <w:pPr>
                    <w:jc w:val="center"/>
                    <w:rPr>
                      <w:sz w:val="20"/>
                    </w:rPr>
                  </w:pPr>
                </w:p>
              </w:tc>
            </w:tr>
            <w:tr w:rsidR="000F1BC5" w:rsidRPr="00056B86" w:rsidTr="005743F3">
              <w:trPr>
                <w:trHeight w:val="270"/>
              </w:trPr>
              <w:tc>
                <w:tcPr>
                  <w:tcW w:w="9356" w:type="dxa"/>
                  <w:gridSpan w:val="6"/>
                  <w:tcBorders>
                    <w:top w:val="single" w:sz="8" w:space="0" w:color="auto"/>
                    <w:left w:val="single" w:sz="8" w:space="0" w:color="auto"/>
                    <w:bottom w:val="single" w:sz="8" w:space="0" w:color="auto"/>
                    <w:right w:val="single" w:sz="4" w:space="0" w:color="auto"/>
                  </w:tcBorders>
                </w:tcPr>
                <w:p w:rsidR="000F1BC5" w:rsidRPr="009C47CF" w:rsidRDefault="000F1BC5" w:rsidP="005743F3">
                  <w:pPr>
                    <w:jc w:val="center"/>
                    <w:rPr>
                      <w:b/>
                      <w:bCs/>
                      <w:sz w:val="20"/>
                    </w:rPr>
                  </w:pPr>
                  <w:r w:rsidRPr="009C47CF">
                    <w:rPr>
                      <w:b/>
                      <w:bCs/>
                      <w:sz w:val="20"/>
                    </w:rPr>
                    <w:t>В процентах к ВРП</w:t>
                  </w:r>
                </w:p>
              </w:tc>
            </w:tr>
            <w:tr w:rsidR="000F1BC5" w:rsidRPr="00056B86" w:rsidTr="005743F3">
              <w:trPr>
                <w:trHeight w:val="255"/>
              </w:trPr>
              <w:tc>
                <w:tcPr>
                  <w:tcW w:w="2835" w:type="dxa"/>
                  <w:tcBorders>
                    <w:top w:val="nil"/>
                    <w:left w:val="single" w:sz="8" w:space="0" w:color="auto"/>
                    <w:bottom w:val="single" w:sz="4" w:space="0" w:color="auto"/>
                    <w:right w:val="single" w:sz="4" w:space="0" w:color="auto"/>
                  </w:tcBorders>
                </w:tcPr>
                <w:p w:rsidR="000F1BC5" w:rsidRPr="009C47CF" w:rsidRDefault="000F1BC5" w:rsidP="005743F3">
                  <w:pPr>
                    <w:rPr>
                      <w:sz w:val="20"/>
                    </w:rPr>
                  </w:pPr>
                  <w:r w:rsidRPr="009C47CF">
                    <w:rPr>
                      <w:sz w:val="20"/>
                    </w:rPr>
                    <w:t>Налоговые доходы</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14,0</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12,9</w:t>
                  </w:r>
                </w:p>
              </w:tc>
              <w:tc>
                <w:tcPr>
                  <w:tcW w:w="1417"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13,9</w:t>
                  </w:r>
                </w:p>
              </w:tc>
              <w:tc>
                <w:tcPr>
                  <w:tcW w:w="1276" w:type="dxa"/>
                  <w:tcBorders>
                    <w:top w:val="nil"/>
                    <w:left w:val="nil"/>
                    <w:bottom w:val="single" w:sz="4" w:space="0" w:color="auto"/>
                    <w:right w:val="single" w:sz="8" w:space="0" w:color="auto"/>
                  </w:tcBorders>
                  <w:noWrap/>
                  <w:vAlign w:val="center"/>
                </w:tcPr>
                <w:p w:rsidR="000F1BC5" w:rsidRPr="009C47CF" w:rsidRDefault="000F1BC5" w:rsidP="005743F3">
                  <w:pPr>
                    <w:jc w:val="center"/>
                    <w:rPr>
                      <w:sz w:val="20"/>
                      <w:lang w:val="en-US"/>
                    </w:rPr>
                  </w:pPr>
                  <w:r w:rsidRPr="009C47CF">
                    <w:rPr>
                      <w:sz w:val="20"/>
                    </w:rPr>
                    <w:t>14,</w:t>
                  </w:r>
                  <w:r w:rsidRPr="009C47CF">
                    <w:rPr>
                      <w:sz w:val="20"/>
                      <w:lang w:val="en-US"/>
                    </w:rPr>
                    <w:t>5</w:t>
                  </w:r>
                </w:p>
              </w:tc>
              <w:tc>
                <w:tcPr>
                  <w:tcW w:w="1276" w:type="dxa"/>
                  <w:tcBorders>
                    <w:top w:val="nil"/>
                    <w:left w:val="nil"/>
                    <w:bottom w:val="single" w:sz="4" w:space="0" w:color="auto"/>
                    <w:right w:val="single" w:sz="8" w:space="0" w:color="auto"/>
                  </w:tcBorders>
                  <w:vAlign w:val="center"/>
                </w:tcPr>
                <w:p w:rsidR="000F1BC5" w:rsidRPr="009C47CF" w:rsidRDefault="000F1BC5" w:rsidP="005743F3">
                  <w:pPr>
                    <w:jc w:val="center"/>
                    <w:rPr>
                      <w:sz w:val="20"/>
                      <w:lang w:val="en-US"/>
                    </w:rPr>
                  </w:pPr>
                  <w:r w:rsidRPr="009C47CF">
                    <w:rPr>
                      <w:sz w:val="20"/>
                      <w:lang w:val="en-US"/>
                    </w:rPr>
                    <w:t>14</w:t>
                  </w:r>
                  <w:r w:rsidRPr="009C47CF">
                    <w:rPr>
                      <w:sz w:val="20"/>
                    </w:rPr>
                    <w:t>,</w:t>
                  </w:r>
                  <w:r w:rsidRPr="009C47CF">
                    <w:rPr>
                      <w:sz w:val="20"/>
                      <w:lang w:val="en-US"/>
                    </w:rPr>
                    <w:t>0</w:t>
                  </w:r>
                </w:p>
              </w:tc>
            </w:tr>
            <w:tr w:rsidR="000F1BC5" w:rsidRPr="00056B86" w:rsidTr="005743F3">
              <w:trPr>
                <w:trHeight w:val="255"/>
              </w:trPr>
              <w:tc>
                <w:tcPr>
                  <w:tcW w:w="2835" w:type="dxa"/>
                  <w:tcBorders>
                    <w:top w:val="nil"/>
                    <w:left w:val="single" w:sz="8" w:space="0" w:color="auto"/>
                    <w:bottom w:val="single" w:sz="4" w:space="0" w:color="auto"/>
                    <w:right w:val="single" w:sz="4" w:space="0" w:color="auto"/>
                  </w:tcBorders>
                </w:tcPr>
                <w:p w:rsidR="000F1BC5" w:rsidRPr="009C47CF" w:rsidRDefault="000F1BC5" w:rsidP="005743F3">
                  <w:pPr>
                    <w:rPr>
                      <w:sz w:val="20"/>
                    </w:rPr>
                  </w:pPr>
                  <w:r w:rsidRPr="009C47CF">
                    <w:rPr>
                      <w:sz w:val="20"/>
                    </w:rPr>
                    <w:t>Налог на прибыль организаций</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2,9</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2,4</w:t>
                  </w:r>
                </w:p>
              </w:tc>
              <w:tc>
                <w:tcPr>
                  <w:tcW w:w="1417"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3,2**</w:t>
                  </w:r>
                </w:p>
              </w:tc>
              <w:tc>
                <w:tcPr>
                  <w:tcW w:w="1276" w:type="dxa"/>
                  <w:tcBorders>
                    <w:top w:val="nil"/>
                    <w:left w:val="nil"/>
                    <w:bottom w:val="single" w:sz="4" w:space="0" w:color="auto"/>
                    <w:right w:val="single" w:sz="8" w:space="0" w:color="auto"/>
                  </w:tcBorders>
                  <w:noWrap/>
                  <w:vAlign w:val="center"/>
                </w:tcPr>
                <w:p w:rsidR="000F1BC5" w:rsidRPr="009C47CF" w:rsidRDefault="000F1BC5" w:rsidP="005743F3">
                  <w:pPr>
                    <w:jc w:val="center"/>
                    <w:rPr>
                      <w:sz w:val="20"/>
                    </w:rPr>
                  </w:pPr>
                  <w:r w:rsidRPr="009C47CF">
                    <w:rPr>
                      <w:sz w:val="20"/>
                    </w:rPr>
                    <w:t>2,8</w:t>
                  </w:r>
                </w:p>
              </w:tc>
              <w:tc>
                <w:tcPr>
                  <w:tcW w:w="1276" w:type="dxa"/>
                  <w:tcBorders>
                    <w:top w:val="nil"/>
                    <w:left w:val="nil"/>
                    <w:bottom w:val="single" w:sz="4" w:space="0" w:color="auto"/>
                    <w:right w:val="single" w:sz="8" w:space="0" w:color="auto"/>
                  </w:tcBorders>
                  <w:vAlign w:val="center"/>
                </w:tcPr>
                <w:p w:rsidR="000F1BC5" w:rsidRPr="009C47CF" w:rsidRDefault="000F1BC5" w:rsidP="005743F3">
                  <w:pPr>
                    <w:jc w:val="center"/>
                    <w:rPr>
                      <w:sz w:val="20"/>
                      <w:lang w:val="en-US"/>
                    </w:rPr>
                  </w:pPr>
                  <w:r w:rsidRPr="009C47CF">
                    <w:rPr>
                      <w:sz w:val="20"/>
                      <w:lang w:val="en-US"/>
                    </w:rPr>
                    <w:t>2</w:t>
                  </w:r>
                  <w:r w:rsidRPr="009C47CF">
                    <w:rPr>
                      <w:sz w:val="20"/>
                    </w:rPr>
                    <w:t>,</w:t>
                  </w:r>
                  <w:r w:rsidRPr="009C47CF">
                    <w:rPr>
                      <w:sz w:val="20"/>
                      <w:lang w:val="en-US"/>
                    </w:rPr>
                    <w:t>7</w:t>
                  </w:r>
                </w:p>
              </w:tc>
            </w:tr>
            <w:tr w:rsidR="000F1BC5" w:rsidRPr="00056B86" w:rsidTr="005743F3">
              <w:trPr>
                <w:trHeight w:val="255"/>
              </w:trPr>
              <w:tc>
                <w:tcPr>
                  <w:tcW w:w="2835" w:type="dxa"/>
                  <w:tcBorders>
                    <w:top w:val="nil"/>
                    <w:left w:val="single" w:sz="8" w:space="0" w:color="auto"/>
                    <w:bottom w:val="single" w:sz="4" w:space="0" w:color="auto"/>
                    <w:right w:val="single" w:sz="4" w:space="0" w:color="auto"/>
                  </w:tcBorders>
                </w:tcPr>
                <w:p w:rsidR="000F1BC5" w:rsidRPr="009C47CF" w:rsidRDefault="000F1BC5" w:rsidP="005743F3">
                  <w:pPr>
                    <w:rPr>
                      <w:sz w:val="20"/>
                    </w:rPr>
                  </w:pPr>
                  <w:r w:rsidRPr="009C47CF">
                    <w:rPr>
                      <w:sz w:val="20"/>
                    </w:rPr>
                    <w:t>Налог на доходы физических лиц</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5,6</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5,2</w:t>
                  </w:r>
                </w:p>
              </w:tc>
              <w:tc>
                <w:tcPr>
                  <w:tcW w:w="1417"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5,5</w:t>
                  </w:r>
                </w:p>
              </w:tc>
              <w:tc>
                <w:tcPr>
                  <w:tcW w:w="1276" w:type="dxa"/>
                  <w:tcBorders>
                    <w:top w:val="nil"/>
                    <w:left w:val="nil"/>
                    <w:bottom w:val="single" w:sz="4" w:space="0" w:color="auto"/>
                    <w:right w:val="single" w:sz="8" w:space="0" w:color="auto"/>
                  </w:tcBorders>
                  <w:noWrap/>
                  <w:vAlign w:val="center"/>
                </w:tcPr>
                <w:p w:rsidR="000F1BC5" w:rsidRPr="009C47CF" w:rsidRDefault="000F1BC5" w:rsidP="005743F3">
                  <w:pPr>
                    <w:jc w:val="center"/>
                    <w:rPr>
                      <w:sz w:val="20"/>
                    </w:rPr>
                  </w:pPr>
                  <w:r w:rsidRPr="009C47CF">
                    <w:rPr>
                      <w:sz w:val="20"/>
                    </w:rPr>
                    <w:t>5,</w:t>
                  </w:r>
                  <w:r w:rsidRPr="009C47CF">
                    <w:rPr>
                      <w:sz w:val="20"/>
                      <w:lang w:val="en-US"/>
                    </w:rPr>
                    <w:t>6</w:t>
                  </w:r>
                </w:p>
              </w:tc>
              <w:tc>
                <w:tcPr>
                  <w:tcW w:w="1276" w:type="dxa"/>
                  <w:tcBorders>
                    <w:top w:val="nil"/>
                    <w:left w:val="nil"/>
                    <w:bottom w:val="single" w:sz="4" w:space="0" w:color="auto"/>
                    <w:right w:val="single" w:sz="8" w:space="0" w:color="auto"/>
                  </w:tcBorders>
                  <w:vAlign w:val="center"/>
                </w:tcPr>
                <w:p w:rsidR="000F1BC5" w:rsidRPr="009C47CF" w:rsidRDefault="000F1BC5" w:rsidP="005743F3">
                  <w:pPr>
                    <w:jc w:val="center"/>
                    <w:rPr>
                      <w:sz w:val="20"/>
                      <w:lang w:val="en-US"/>
                    </w:rPr>
                  </w:pPr>
                  <w:r w:rsidRPr="009C47CF">
                    <w:rPr>
                      <w:sz w:val="20"/>
                      <w:lang w:val="en-US"/>
                    </w:rPr>
                    <w:t>5</w:t>
                  </w:r>
                  <w:r w:rsidRPr="009C47CF">
                    <w:rPr>
                      <w:sz w:val="20"/>
                    </w:rPr>
                    <w:t>,</w:t>
                  </w:r>
                  <w:r w:rsidRPr="009C47CF">
                    <w:rPr>
                      <w:sz w:val="20"/>
                      <w:lang w:val="en-US"/>
                    </w:rPr>
                    <w:t>4</w:t>
                  </w:r>
                </w:p>
              </w:tc>
            </w:tr>
            <w:tr w:rsidR="000F1BC5" w:rsidRPr="00056B86" w:rsidTr="005743F3">
              <w:trPr>
                <w:trHeight w:val="255"/>
              </w:trPr>
              <w:tc>
                <w:tcPr>
                  <w:tcW w:w="2835" w:type="dxa"/>
                  <w:tcBorders>
                    <w:top w:val="nil"/>
                    <w:left w:val="single" w:sz="8" w:space="0" w:color="auto"/>
                    <w:bottom w:val="single" w:sz="4" w:space="0" w:color="auto"/>
                    <w:right w:val="single" w:sz="4" w:space="0" w:color="auto"/>
                  </w:tcBorders>
                </w:tcPr>
                <w:p w:rsidR="000F1BC5" w:rsidRPr="009C47CF" w:rsidRDefault="000F1BC5" w:rsidP="005743F3">
                  <w:pPr>
                    <w:rPr>
                      <w:sz w:val="20"/>
                    </w:rPr>
                  </w:pPr>
                  <w:r w:rsidRPr="009C47CF">
                    <w:rPr>
                      <w:sz w:val="20"/>
                    </w:rPr>
                    <w:t>Акцизы</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2,2</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2,4</w:t>
                  </w:r>
                </w:p>
              </w:tc>
              <w:tc>
                <w:tcPr>
                  <w:tcW w:w="1417"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2,1</w:t>
                  </w:r>
                </w:p>
              </w:tc>
              <w:tc>
                <w:tcPr>
                  <w:tcW w:w="1276" w:type="dxa"/>
                  <w:tcBorders>
                    <w:top w:val="nil"/>
                    <w:left w:val="nil"/>
                    <w:bottom w:val="single" w:sz="4" w:space="0" w:color="auto"/>
                    <w:right w:val="single" w:sz="8" w:space="0" w:color="auto"/>
                  </w:tcBorders>
                  <w:noWrap/>
                  <w:vAlign w:val="center"/>
                </w:tcPr>
                <w:p w:rsidR="000F1BC5" w:rsidRPr="009C47CF" w:rsidRDefault="000F1BC5" w:rsidP="005743F3">
                  <w:pPr>
                    <w:jc w:val="center"/>
                    <w:rPr>
                      <w:sz w:val="20"/>
                    </w:rPr>
                  </w:pPr>
                  <w:r w:rsidRPr="009C47CF">
                    <w:rPr>
                      <w:sz w:val="20"/>
                    </w:rPr>
                    <w:t>2,3</w:t>
                  </w:r>
                </w:p>
              </w:tc>
              <w:tc>
                <w:tcPr>
                  <w:tcW w:w="1276" w:type="dxa"/>
                  <w:tcBorders>
                    <w:top w:val="nil"/>
                    <w:left w:val="nil"/>
                    <w:bottom w:val="single" w:sz="4" w:space="0" w:color="auto"/>
                    <w:right w:val="single" w:sz="8" w:space="0" w:color="auto"/>
                  </w:tcBorders>
                  <w:vAlign w:val="center"/>
                </w:tcPr>
                <w:p w:rsidR="000F1BC5" w:rsidRPr="009C47CF" w:rsidRDefault="000F1BC5" w:rsidP="005743F3">
                  <w:pPr>
                    <w:jc w:val="center"/>
                    <w:rPr>
                      <w:sz w:val="20"/>
                    </w:rPr>
                  </w:pPr>
                  <w:r w:rsidRPr="009C47CF">
                    <w:rPr>
                      <w:sz w:val="20"/>
                    </w:rPr>
                    <w:t>2,1</w:t>
                  </w:r>
                </w:p>
              </w:tc>
            </w:tr>
            <w:tr w:rsidR="000F1BC5" w:rsidRPr="00056B86" w:rsidTr="005743F3">
              <w:trPr>
                <w:trHeight w:val="255"/>
              </w:trPr>
              <w:tc>
                <w:tcPr>
                  <w:tcW w:w="2835" w:type="dxa"/>
                  <w:tcBorders>
                    <w:top w:val="nil"/>
                    <w:left w:val="single" w:sz="8" w:space="0" w:color="auto"/>
                    <w:bottom w:val="single" w:sz="4" w:space="0" w:color="auto"/>
                    <w:right w:val="single" w:sz="4" w:space="0" w:color="auto"/>
                  </w:tcBorders>
                </w:tcPr>
                <w:p w:rsidR="000F1BC5" w:rsidRPr="009C47CF" w:rsidRDefault="000F1BC5" w:rsidP="005743F3">
                  <w:pPr>
                    <w:rPr>
                      <w:sz w:val="20"/>
                    </w:rPr>
                  </w:pPr>
                  <w:r w:rsidRPr="009C47CF">
                    <w:rPr>
                      <w:sz w:val="20"/>
                    </w:rPr>
                    <w:t>Налог на имущество организаций</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1,4</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1,3</w:t>
                  </w:r>
                </w:p>
              </w:tc>
              <w:tc>
                <w:tcPr>
                  <w:tcW w:w="1417"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1,3</w:t>
                  </w:r>
                </w:p>
              </w:tc>
              <w:tc>
                <w:tcPr>
                  <w:tcW w:w="1276" w:type="dxa"/>
                  <w:tcBorders>
                    <w:top w:val="nil"/>
                    <w:left w:val="nil"/>
                    <w:bottom w:val="single" w:sz="4" w:space="0" w:color="auto"/>
                    <w:right w:val="single" w:sz="8" w:space="0" w:color="auto"/>
                  </w:tcBorders>
                  <w:noWrap/>
                  <w:vAlign w:val="center"/>
                </w:tcPr>
                <w:p w:rsidR="000F1BC5" w:rsidRPr="009C47CF" w:rsidRDefault="000F1BC5" w:rsidP="005743F3">
                  <w:pPr>
                    <w:jc w:val="center"/>
                    <w:rPr>
                      <w:sz w:val="20"/>
                    </w:rPr>
                  </w:pPr>
                  <w:r w:rsidRPr="009C47CF">
                    <w:rPr>
                      <w:sz w:val="20"/>
                    </w:rPr>
                    <w:t>1,9***</w:t>
                  </w:r>
                </w:p>
              </w:tc>
              <w:tc>
                <w:tcPr>
                  <w:tcW w:w="1276" w:type="dxa"/>
                  <w:tcBorders>
                    <w:top w:val="nil"/>
                    <w:left w:val="nil"/>
                    <w:bottom w:val="single" w:sz="4" w:space="0" w:color="auto"/>
                    <w:right w:val="single" w:sz="8" w:space="0" w:color="auto"/>
                  </w:tcBorders>
                  <w:vAlign w:val="center"/>
                </w:tcPr>
                <w:p w:rsidR="000F1BC5" w:rsidRPr="009C47CF" w:rsidRDefault="000F1BC5" w:rsidP="005743F3">
                  <w:pPr>
                    <w:jc w:val="center"/>
                    <w:rPr>
                      <w:sz w:val="20"/>
                    </w:rPr>
                  </w:pPr>
                  <w:r w:rsidRPr="009C47CF">
                    <w:rPr>
                      <w:sz w:val="20"/>
                    </w:rPr>
                    <w:t>1,9</w:t>
                  </w:r>
                </w:p>
              </w:tc>
            </w:tr>
            <w:tr w:rsidR="000F1BC5" w:rsidRPr="00056B86" w:rsidTr="005743F3">
              <w:trPr>
                <w:trHeight w:val="255"/>
              </w:trPr>
              <w:tc>
                <w:tcPr>
                  <w:tcW w:w="2835" w:type="dxa"/>
                  <w:tcBorders>
                    <w:top w:val="nil"/>
                    <w:left w:val="single" w:sz="8" w:space="0" w:color="auto"/>
                    <w:bottom w:val="nil"/>
                    <w:right w:val="single" w:sz="4" w:space="0" w:color="auto"/>
                  </w:tcBorders>
                </w:tcPr>
                <w:p w:rsidR="000F1BC5" w:rsidRPr="009C47CF" w:rsidRDefault="000F1BC5" w:rsidP="005743F3">
                  <w:pPr>
                    <w:rPr>
                      <w:sz w:val="20"/>
                    </w:rPr>
                  </w:pPr>
                  <w:r w:rsidRPr="009C47CF">
                    <w:rPr>
                      <w:sz w:val="20"/>
                    </w:rPr>
                    <w:t>Налоги на совокупный доход</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0,8</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0,9</w:t>
                  </w:r>
                </w:p>
              </w:tc>
              <w:tc>
                <w:tcPr>
                  <w:tcW w:w="1417"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1,1</w:t>
                  </w:r>
                </w:p>
              </w:tc>
              <w:tc>
                <w:tcPr>
                  <w:tcW w:w="1276" w:type="dxa"/>
                  <w:tcBorders>
                    <w:top w:val="nil"/>
                    <w:left w:val="nil"/>
                    <w:bottom w:val="single" w:sz="4" w:space="0" w:color="auto"/>
                    <w:right w:val="single" w:sz="4" w:space="0" w:color="auto"/>
                  </w:tcBorders>
                  <w:noWrap/>
                  <w:vAlign w:val="center"/>
                </w:tcPr>
                <w:p w:rsidR="000F1BC5" w:rsidRPr="009C47CF" w:rsidRDefault="000F1BC5" w:rsidP="005743F3">
                  <w:pPr>
                    <w:jc w:val="center"/>
                    <w:rPr>
                      <w:sz w:val="20"/>
                    </w:rPr>
                  </w:pPr>
                  <w:r w:rsidRPr="009C47CF">
                    <w:rPr>
                      <w:sz w:val="20"/>
                    </w:rPr>
                    <w:t>0,8</w:t>
                  </w:r>
                </w:p>
              </w:tc>
              <w:tc>
                <w:tcPr>
                  <w:tcW w:w="1276" w:type="dxa"/>
                  <w:tcBorders>
                    <w:top w:val="nil"/>
                    <w:left w:val="nil"/>
                    <w:bottom w:val="single" w:sz="4" w:space="0" w:color="auto"/>
                    <w:right w:val="single" w:sz="4" w:space="0" w:color="auto"/>
                  </w:tcBorders>
                  <w:vAlign w:val="center"/>
                </w:tcPr>
                <w:p w:rsidR="000F1BC5" w:rsidRPr="009C47CF" w:rsidRDefault="000F1BC5" w:rsidP="005743F3">
                  <w:pPr>
                    <w:jc w:val="center"/>
                    <w:rPr>
                      <w:sz w:val="20"/>
                    </w:rPr>
                  </w:pPr>
                  <w:r w:rsidRPr="009C47CF">
                    <w:rPr>
                      <w:sz w:val="20"/>
                    </w:rPr>
                    <w:t>0,8</w:t>
                  </w:r>
                </w:p>
              </w:tc>
            </w:tr>
            <w:tr w:rsidR="000F1BC5" w:rsidRPr="00056B86" w:rsidTr="005743F3">
              <w:trPr>
                <w:trHeight w:val="270"/>
              </w:trPr>
              <w:tc>
                <w:tcPr>
                  <w:tcW w:w="2835" w:type="dxa"/>
                  <w:tcBorders>
                    <w:top w:val="single" w:sz="4" w:space="0" w:color="auto"/>
                    <w:left w:val="single" w:sz="8" w:space="0" w:color="auto"/>
                    <w:bottom w:val="single" w:sz="8" w:space="0" w:color="auto"/>
                    <w:right w:val="single" w:sz="4" w:space="0" w:color="auto"/>
                  </w:tcBorders>
                </w:tcPr>
                <w:p w:rsidR="000F1BC5" w:rsidRPr="009C47CF" w:rsidRDefault="000F1BC5" w:rsidP="005743F3">
                  <w:pPr>
                    <w:rPr>
                      <w:sz w:val="20"/>
                    </w:rPr>
                  </w:pPr>
                  <w:r w:rsidRPr="009C47CF">
                    <w:rPr>
                      <w:sz w:val="20"/>
                    </w:rPr>
                    <w:t>Прочие налоговые доходы</w:t>
                  </w:r>
                </w:p>
              </w:tc>
              <w:tc>
                <w:tcPr>
                  <w:tcW w:w="1276" w:type="dxa"/>
                  <w:tcBorders>
                    <w:top w:val="nil"/>
                    <w:left w:val="nil"/>
                    <w:bottom w:val="single" w:sz="8" w:space="0" w:color="auto"/>
                    <w:right w:val="single" w:sz="4" w:space="0" w:color="auto"/>
                  </w:tcBorders>
                  <w:noWrap/>
                  <w:vAlign w:val="center"/>
                </w:tcPr>
                <w:p w:rsidR="000F1BC5" w:rsidRPr="009C47CF" w:rsidRDefault="000F1BC5" w:rsidP="005743F3">
                  <w:pPr>
                    <w:jc w:val="center"/>
                    <w:rPr>
                      <w:sz w:val="20"/>
                    </w:rPr>
                  </w:pPr>
                  <w:r w:rsidRPr="009C47CF">
                    <w:rPr>
                      <w:sz w:val="20"/>
                    </w:rPr>
                    <w:t>1,2</w:t>
                  </w:r>
                </w:p>
              </w:tc>
              <w:tc>
                <w:tcPr>
                  <w:tcW w:w="1276" w:type="dxa"/>
                  <w:tcBorders>
                    <w:top w:val="nil"/>
                    <w:left w:val="nil"/>
                    <w:bottom w:val="single" w:sz="8" w:space="0" w:color="auto"/>
                    <w:right w:val="single" w:sz="4" w:space="0" w:color="auto"/>
                  </w:tcBorders>
                  <w:noWrap/>
                  <w:vAlign w:val="center"/>
                </w:tcPr>
                <w:p w:rsidR="000F1BC5" w:rsidRPr="009C47CF" w:rsidRDefault="000F1BC5" w:rsidP="005743F3">
                  <w:pPr>
                    <w:jc w:val="center"/>
                    <w:rPr>
                      <w:sz w:val="20"/>
                    </w:rPr>
                  </w:pPr>
                  <w:r w:rsidRPr="009C47CF">
                    <w:rPr>
                      <w:sz w:val="20"/>
                    </w:rPr>
                    <w:t>1,0</w:t>
                  </w:r>
                </w:p>
              </w:tc>
              <w:tc>
                <w:tcPr>
                  <w:tcW w:w="1417" w:type="dxa"/>
                  <w:tcBorders>
                    <w:top w:val="nil"/>
                    <w:left w:val="nil"/>
                    <w:bottom w:val="single" w:sz="8" w:space="0" w:color="auto"/>
                    <w:right w:val="single" w:sz="4" w:space="0" w:color="auto"/>
                  </w:tcBorders>
                  <w:noWrap/>
                  <w:vAlign w:val="center"/>
                </w:tcPr>
                <w:p w:rsidR="000F1BC5" w:rsidRPr="009C47CF" w:rsidRDefault="000F1BC5" w:rsidP="005743F3">
                  <w:pPr>
                    <w:jc w:val="center"/>
                    <w:rPr>
                      <w:sz w:val="20"/>
                    </w:rPr>
                  </w:pPr>
                  <w:r w:rsidRPr="009C47CF">
                    <w:rPr>
                      <w:sz w:val="20"/>
                    </w:rPr>
                    <w:t>1,0</w:t>
                  </w:r>
                </w:p>
              </w:tc>
              <w:tc>
                <w:tcPr>
                  <w:tcW w:w="1276" w:type="dxa"/>
                  <w:tcBorders>
                    <w:top w:val="nil"/>
                    <w:left w:val="nil"/>
                    <w:bottom w:val="single" w:sz="8" w:space="0" w:color="auto"/>
                    <w:right w:val="single" w:sz="8" w:space="0" w:color="auto"/>
                  </w:tcBorders>
                  <w:noWrap/>
                  <w:vAlign w:val="center"/>
                </w:tcPr>
                <w:p w:rsidR="000F1BC5" w:rsidRPr="009C47CF" w:rsidRDefault="000F1BC5" w:rsidP="005743F3">
                  <w:pPr>
                    <w:jc w:val="center"/>
                    <w:rPr>
                      <w:sz w:val="20"/>
                    </w:rPr>
                  </w:pPr>
                  <w:r w:rsidRPr="009C47CF">
                    <w:rPr>
                      <w:sz w:val="20"/>
                    </w:rPr>
                    <w:t>1,1</w:t>
                  </w:r>
                </w:p>
              </w:tc>
              <w:tc>
                <w:tcPr>
                  <w:tcW w:w="1276" w:type="dxa"/>
                  <w:tcBorders>
                    <w:top w:val="nil"/>
                    <w:left w:val="nil"/>
                    <w:bottom w:val="single" w:sz="8" w:space="0" w:color="auto"/>
                    <w:right w:val="single" w:sz="8" w:space="0" w:color="auto"/>
                  </w:tcBorders>
                  <w:vAlign w:val="center"/>
                </w:tcPr>
                <w:p w:rsidR="000F1BC5" w:rsidRPr="009C47CF" w:rsidRDefault="000F1BC5" w:rsidP="005743F3">
                  <w:pPr>
                    <w:jc w:val="center"/>
                    <w:rPr>
                      <w:sz w:val="20"/>
                    </w:rPr>
                  </w:pPr>
                  <w:r w:rsidRPr="009C47CF">
                    <w:rPr>
                      <w:sz w:val="20"/>
                    </w:rPr>
                    <w:t>1,1</w:t>
                  </w:r>
                </w:p>
              </w:tc>
            </w:tr>
          </w:tbl>
          <w:p w:rsidR="000F1BC5" w:rsidRPr="00056B86" w:rsidRDefault="000F1BC5" w:rsidP="005743F3">
            <w:pPr>
              <w:rPr>
                <w:sz w:val="20"/>
              </w:rPr>
            </w:pPr>
          </w:p>
        </w:tc>
      </w:tr>
    </w:tbl>
    <w:p w:rsidR="000F1BC5" w:rsidRDefault="000F1BC5" w:rsidP="000F1BC5">
      <w:pPr>
        <w:jc w:val="both"/>
        <w:rPr>
          <w:sz w:val="24"/>
          <w:szCs w:val="24"/>
        </w:rPr>
      </w:pPr>
      <w:r>
        <w:rPr>
          <w:sz w:val="24"/>
          <w:szCs w:val="24"/>
        </w:rPr>
        <w:t xml:space="preserve">   *   ВРП по Тверской области  за 2014 год оценка Министерства экономического развития Тверской области;</w:t>
      </w:r>
    </w:p>
    <w:p w:rsidR="000F1BC5" w:rsidRPr="00056B86" w:rsidRDefault="000F1BC5" w:rsidP="000F1BC5">
      <w:pPr>
        <w:jc w:val="both"/>
        <w:rPr>
          <w:szCs w:val="28"/>
        </w:rPr>
      </w:pPr>
      <w:r>
        <w:rPr>
          <w:sz w:val="24"/>
          <w:szCs w:val="24"/>
        </w:rPr>
        <w:t xml:space="preserve">   </w:t>
      </w:r>
      <w:r w:rsidRPr="00056B86">
        <w:rPr>
          <w:sz w:val="24"/>
          <w:szCs w:val="24"/>
        </w:rPr>
        <w:t>*</w:t>
      </w:r>
      <w:r>
        <w:rPr>
          <w:sz w:val="24"/>
          <w:szCs w:val="24"/>
        </w:rPr>
        <w:t>*</w:t>
      </w:r>
      <w:r w:rsidRPr="000A2A47">
        <w:rPr>
          <w:sz w:val="24"/>
          <w:szCs w:val="24"/>
        </w:rPr>
        <w:t xml:space="preserve"> </w:t>
      </w:r>
      <w:r>
        <w:rPr>
          <w:sz w:val="24"/>
          <w:szCs w:val="24"/>
        </w:rPr>
        <w:t xml:space="preserve">   </w:t>
      </w:r>
      <w:r w:rsidRPr="00056B86">
        <w:rPr>
          <w:sz w:val="24"/>
          <w:szCs w:val="24"/>
        </w:rPr>
        <w:t>налог на прибыль организаций без КГН – 2,3%</w:t>
      </w:r>
      <w:r w:rsidRPr="00056B86">
        <w:rPr>
          <w:szCs w:val="28"/>
        </w:rPr>
        <w:t>;</w:t>
      </w:r>
    </w:p>
    <w:p w:rsidR="000F1BC5" w:rsidRPr="00056B86" w:rsidRDefault="000F1BC5" w:rsidP="000F1BC5">
      <w:pPr>
        <w:jc w:val="both"/>
        <w:rPr>
          <w:sz w:val="24"/>
          <w:szCs w:val="24"/>
        </w:rPr>
      </w:pPr>
      <w:r w:rsidRPr="00056B86">
        <w:rPr>
          <w:sz w:val="24"/>
          <w:szCs w:val="24"/>
        </w:rPr>
        <w:t xml:space="preserve">   **</w:t>
      </w:r>
      <w:r>
        <w:rPr>
          <w:sz w:val="24"/>
          <w:szCs w:val="24"/>
        </w:rPr>
        <w:t>*</w:t>
      </w:r>
      <w:r w:rsidRPr="00056B86">
        <w:rPr>
          <w:sz w:val="24"/>
          <w:szCs w:val="24"/>
        </w:rPr>
        <w:t xml:space="preserve"> </w:t>
      </w:r>
      <w:r>
        <w:rPr>
          <w:sz w:val="24"/>
          <w:szCs w:val="24"/>
        </w:rPr>
        <w:t xml:space="preserve"> </w:t>
      </w:r>
      <w:r w:rsidRPr="00056B86">
        <w:rPr>
          <w:sz w:val="24"/>
          <w:szCs w:val="24"/>
        </w:rPr>
        <w:t xml:space="preserve">налог на имущество организаций без учета ввода </w:t>
      </w:r>
      <w:r w:rsidRPr="00056B86">
        <w:rPr>
          <w:sz w:val="24"/>
          <w:szCs w:val="24"/>
          <w:lang w:val="en-US"/>
        </w:rPr>
        <w:t>IV</w:t>
      </w:r>
      <w:r w:rsidRPr="00056B86">
        <w:rPr>
          <w:sz w:val="24"/>
          <w:szCs w:val="24"/>
        </w:rPr>
        <w:t xml:space="preserve"> энергоблока КАЭС- 1,1%</w:t>
      </w:r>
    </w:p>
    <w:p w:rsidR="000F1BC5" w:rsidRDefault="000F1BC5" w:rsidP="000F1BC5">
      <w:pPr>
        <w:ind w:firstLine="709"/>
        <w:jc w:val="both"/>
        <w:rPr>
          <w:szCs w:val="28"/>
        </w:rPr>
      </w:pPr>
    </w:p>
    <w:p w:rsidR="000F1BC5" w:rsidRPr="00FE5F71" w:rsidRDefault="000F1BC5" w:rsidP="000F1BC5">
      <w:pPr>
        <w:ind w:firstLine="709"/>
        <w:jc w:val="both"/>
        <w:rPr>
          <w:szCs w:val="28"/>
        </w:rPr>
      </w:pPr>
      <w:r w:rsidRPr="00DF796B">
        <w:rPr>
          <w:szCs w:val="28"/>
        </w:rPr>
        <w:lastRenderedPageBreak/>
        <w:t>Представленные данные показывают,</w:t>
      </w:r>
      <w:r>
        <w:rPr>
          <w:szCs w:val="28"/>
        </w:rPr>
        <w:t xml:space="preserve"> что за последние пять лет </w:t>
      </w:r>
      <w:r w:rsidRPr="00DF796B">
        <w:rPr>
          <w:szCs w:val="28"/>
        </w:rPr>
        <w:t>величин</w:t>
      </w:r>
      <w:r>
        <w:rPr>
          <w:szCs w:val="28"/>
        </w:rPr>
        <w:t>а</w:t>
      </w:r>
      <w:r w:rsidRPr="00DF796B">
        <w:rPr>
          <w:szCs w:val="28"/>
        </w:rPr>
        <w:t xml:space="preserve"> налоговой нагрузки в Тверской области, характеризуемой как доля налоговых доходов в</w:t>
      </w:r>
      <w:r>
        <w:rPr>
          <w:szCs w:val="28"/>
        </w:rPr>
        <w:t xml:space="preserve"> валовом региональном продукте, не растет и остается на уровне около </w:t>
      </w:r>
      <w:r w:rsidRPr="00DF796B">
        <w:rPr>
          <w:szCs w:val="28"/>
        </w:rPr>
        <w:t>14,0 % к ВРП</w:t>
      </w:r>
      <w:r>
        <w:rPr>
          <w:szCs w:val="28"/>
        </w:rPr>
        <w:t>.</w:t>
      </w:r>
    </w:p>
    <w:p w:rsidR="000F1BC5" w:rsidRDefault="000F1BC5" w:rsidP="000F1BC5">
      <w:pPr>
        <w:ind w:firstLine="709"/>
        <w:jc w:val="both"/>
        <w:rPr>
          <w:szCs w:val="28"/>
        </w:rPr>
      </w:pPr>
      <w:r>
        <w:rPr>
          <w:szCs w:val="28"/>
        </w:rPr>
        <w:t xml:space="preserve">На увеличение показателей налоговой нагрузки в 2012 году оказало влияние вступление в силу изменений в Налоговый кодекс Российской Федерации (далее - Налоговый кодекс) в части создания консолидированных групп налогоплательщиков (далее – КГН), а в 2013 году введение в промышленную эксплуатацию 4 энергоблока Калининской АЭС. </w:t>
      </w:r>
    </w:p>
    <w:p w:rsidR="000F1BC5" w:rsidRPr="00056B86" w:rsidRDefault="000F1BC5" w:rsidP="000F1BC5">
      <w:pPr>
        <w:ind w:firstLine="720"/>
        <w:jc w:val="both"/>
        <w:rPr>
          <w:color w:val="1A1A1A"/>
          <w:szCs w:val="28"/>
          <w:shd w:val="clear" w:color="auto" w:fill="FFFFFF"/>
        </w:rPr>
      </w:pPr>
      <w:r w:rsidRPr="00056B86">
        <w:rPr>
          <w:color w:val="1A1A1A"/>
          <w:szCs w:val="28"/>
          <w:shd w:val="clear" w:color="auto" w:fill="FFFFFF"/>
        </w:rPr>
        <w:t>При анализе налоговой нагрузки по Тверской</w:t>
      </w:r>
      <w:r>
        <w:rPr>
          <w:color w:val="1A1A1A"/>
          <w:szCs w:val="28"/>
          <w:shd w:val="clear" w:color="auto" w:fill="FFFFFF"/>
        </w:rPr>
        <w:t xml:space="preserve"> области необходимо учитывать </w:t>
      </w:r>
      <w:r w:rsidRPr="00056B86">
        <w:rPr>
          <w:color w:val="1A1A1A"/>
          <w:szCs w:val="28"/>
          <w:shd w:val="clear" w:color="auto" w:fill="FFFFFF"/>
        </w:rPr>
        <w:t>то обстоятельство, что налоговые доходы в настоящее время формируются не то</w:t>
      </w:r>
      <w:r>
        <w:rPr>
          <w:color w:val="1A1A1A"/>
          <w:szCs w:val="28"/>
          <w:shd w:val="clear" w:color="auto" w:fill="FFFFFF"/>
        </w:rPr>
        <w:t>лько исходя из объемов выручки,</w:t>
      </w:r>
      <w:r w:rsidRPr="00056B86">
        <w:rPr>
          <w:color w:val="1A1A1A"/>
          <w:szCs w:val="28"/>
          <w:shd w:val="clear" w:color="auto" w:fill="FFFFFF"/>
        </w:rPr>
        <w:t xml:space="preserve"> валового внутреннего продукта, произведенного на территории области, но и за счет результатов деятельности других плательщиков Российской Федерации. Так, Налоговым кодексом предусмотрены особенности уплаты налога на прибыль</w:t>
      </w:r>
      <w:r w:rsidRPr="00190EFF">
        <w:rPr>
          <w:color w:val="1A1A1A"/>
          <w:szCs w:val="28"/>
          <w:shd w:val="clear" w:color="auto" w:fill="FFFFFF"/>
        </w:rPr>
        <w:t xml:space="preserve"> </w:t>
      </w:r>
      <w:r>
        <w:rPr>
          <w:color w:val="1A1A1A"/>
          <w:szCs w:val="28"/>
          <w:shd w:val="clear" w:color="auto" w:fill="FFFFFF"/>
        </w:rPr>
        <w:t>организаций (далее – налог на прибыль)</w:t>
      </w:r>
      <w:r w:rsidRPr="00056B86">
        <w:rPr>
          <w:color w:val="1A1A1A"/>
          <w:szCs w:val="28"/>
          <w:shd w:val="clear" w:color="auto" w:fill="FFFFFF"/>
        </w:rPr>
        <w:t xml:space="preserve"> по структурным подразделениям и</w:t>
      </w:r>
      <w:r>
        <w:rPr>
          <w:color w:val="1A1A1A"/>
          <w:szCs w:val="28"/>
          <w:shd w:val="clear" w:color="auto" w:fill="FFFFFF"/>
        </w:rPr>
        <w:t xml:space="preserve"> КГН</w:t>
      </w:r>
      <w:r w:rsidRPr="00056B86">
        <w:rPr>
          <w:color w:val="1A1A1A"/>
          <w:szCs w:val="28"/>
          <w:shd w:val="clear" w:color="auto" w:fill="FFFFFF"/>
        </w:rPr>
        <w:t>, а Бюджетным кодексом Российской Федерации установлены нормативы централизации по акцизам на моторные масла, дизельное топливо и автомобильный бензин с последующим установлением нормативов распределения по субъектам Российской Федерации.</w:t>
      </w:r>
    </w:p>
    <w:p w:rsidR="000F1BC5" w:rsidRPr="00F82CF9" w:rsidRDefault="000F1BC5" w:rsidP="000F1BC5">
      <w:pPr>
        <w:ind w:firstLine="720"/>
        <w:jc w:val="both"/>
        <w:rPr>
          <w:color w:val="1A1A1A"/>
          <w:szCs w:val="28"/>
          <w:shd w:val="clear" w:color="auto" w:fill="FFFFFF"/>
        </w:rPr>
      </w:pPr>
      <w:r w:rsidRPr="00056B86">
        <w:rPr>
          <w:color w:val="1A1A1A"/>
          <w:szCs w:val="28"/>
          <w:shd w:val="clear" w:color="auto" w:fill="FFFFFF"/>
        </w:rPr>
        <w:t>Зависимость Тверской области от плательщиков Российской Федерации представлена в таблице 2.</w:t>
      </w:r>
    </w:p>
    <w:p w:rsidR="000F1BC5" w:rsidRDefault="000F1BC5" w:rsidP="000F1BC5">
      <w:pPr>
        <w:ind w:firstLine="720"/>
        <w:jc w:val="right"/>
        <w:rPr>
          <w:color w:val="1A1A1A"/>
          <w:szCs w:val="28"/>
          <w:shd w:val="clear" w:color="auto" w:fill="FFFFFF"/>
        </w:rPr>
      </w:pPr>
      <w:r w:rsidRPr="00486DBB">
        <w:rPr>
          <w:color w:val="1A1A1A"/>
          <w:szCs w:val="28"/>
          <w:shd w:val="clear" w:color="auto" w:fill="FFFFFF"/>
        </w:rPr>
        <w:t>Таблица 2</w:t>
      </w:r>
    </w:p>
    <w:p w:rsidR="000F1BC5" w:rsidRPr="00585F84" w:rsidRDefault="000F1BC5" w:rsidP="000F1BC5">
      <w:pPr>
        <w:ind w:firstLine="720"/>
        <w:jc w:val="both"/>
        <w:rPr>
          <w:b/>
          <w:color w:val="1A1A1A"/>
          <w:szCs w:val="28"/>
          <w:shd w:val="clear" w:color="auto" w:fill="FFFFFF"/>
        </w:rPr>
      </w:pPr>
      <w:r w:rsidRPr="00585F84">
        <w:rPr>
          <w:b/>
          <w:color w:val="1A1A1A"/>
          <w:szCs w:val="28"/>
          <w:shd w:val="clear" w:color="auto" w:fill="FFFFFF"/>
        </w:rPr>
        <w:t>Доля налоговых доходов консолидированного бюджета Тверской области, формируемых за счет плательщиков Российской Федерации</w:t>
      </w:r>
    </w:p>
    <w:p w:rsidR="000F1BC5" w:rsidRPr="00056B86" w:rsidRDefault="000F1BC5" w:rsidP="000F1BC5">
      <w:pPr>
        <w:ind w:firstLine="720"/>
        <w:jc w:val="center"/>
        <w:rPr>
          <w:color w:val="1A1A1A"/>
          <w:sz w:val="24"/>
          <w:szCs w:val="24"/>
          <w:shd w:val="clear" w:color="auto" w:fill="FFFFFF"/>
        </w:rPr>
      </w:pPr>
    </w:p>
    <w:tbl>
      <w:tblPr>
        <w:tblW w:w="9566" w:type="dxa"/>
        <w:tblInd w:w="5" w:type="dxa"/>
        <w:tblLook w:val="00A0" w:firstRow="1" w:lastRow="0" w:firstColumn="1" w:lastColumn="0" w:noHBand="0" w:noVBand="0"/>
      </w:tblPr>
      <w:tblGrid>
        <w:gridCol w:w="600"/>
        <w:gridCol w:w="4802"/>
        <w:gridCol w:w="1126"/>
        <w:gridCol w:w="1497"/>
        <w:gridCol w:w="1541"/>
      </w:tblGrid>
      <w:tr w:rsidR="000F1BC5" w:rsidRPr="00056B86" w:rsidTr="005743F3">
        <w:trPr>
          <w:trHeight w:val="771"/>
        </w:trPr>
        <w:tc>
          <w:tcPr>
            <w:tcW w:w="600" w:type="dxa"/>
            <w:tcBorders>
              <w:top w:val="single" w:sz="4" w:space="0" w:color="auto"/>
              <w:left w:val="single" w:sz="4" w:space="0" w:color="auto"/>
              <w:right w:val="single" w:sz="4" w:space="0" w:color="auto"/>
            </w:tcBorders>
            <w:noWrap/>
            <w:vAlign w:val="bottom"/>
          </w:tcPr>
          <w:p w:rsidR="000F1BC5" w:rsidRPr="00486DBB" w:rsidRDefault="000F1BC5" w:rsidP="005743F3">
            <w:pPr>
              <w:rPr>
                <w:b/>
                <w:sz w:val="20"/>
              </w:rPr>
            </w:pPr>
            <w:r w:rsidRPr="00486DBB">
              <w:rPr>
                <w:b/>
                <w:sz w:val="20"/>
              </w:rPr>
              <w:t xml:space="preserve"> № </w:t>
            </w:r>
            <w:proofErr w:type="gramStart"/>
            <w:r w:rsidRPr="00486DBB">
              <w:rPr>
                <w:b/>
                <w:sz w:val="20"/>
              </w:rPr>
              <w:t>п</w:t>
            </w:r>
            <w:proofErr w:type="gramEnd"/>
            <w:r w:rsidRPr="00486DBB">
              <w:rPr>
                <w:b/>
                <w:sz w:val="20"/>
              </w:rPr>
              <w:t>/п</w:t>
            </w:r>
          </w:p>
        </w:tc>
        <w:tc>
          <w:tcPr>
            <w:tcW w:w="4802" w:type="dxa"/>
            <w:tcBorders>
              <w:top w:val="single" w:sz="4" w:space="0" w:color="auto"/>
              <w:left w:val="nil"/>
              <w:right w:val="single" w:sz="4" w:space="0" w:color="auto"/>
            </w:tcBorders>
            <w:vAlign w:val="center"/>
          </w:tcPr>
          <w:p w:rsidR="000F1BC5" w:rsidRPr="00486DBB" w:rsidRDefault="000F1BC5" w:rsidP="005743F3">
            <w:pPr>
              <w:jc w:val="center"/>
              <w:rPr>
                <w:b/>
                <w:sz w:val="20"/>
              </w:rPr>
            </w:pPr>
            <w:r w:rsidRPr="00486DBB">
              <w:rPr>
                <w:b/>
                <w:sz w:val="20"/>
              </w:rPr>
              <w:t> </w:t>
            </w:r>
          </w:p>
          <w:p w:rsidR="000F1BC5" w:rsidRPr="00486DBB" w:rsidRDefault="000F1BC5" w:rsidP="005743F3">
            <w:pPr>
              <w:jc w:val="center"/>
              <w:rPr>
                <w:b/>
                <w:sz w:val="20"/>
              </w:rPr>
            </w:pPr>
            <w:r w:rsidRPr="00486DBB">
              <w:rPr>
                <w:b/>
                <w:sz w:val="20"/>
              </w:rPr>
              <w:t>Наименование</w:t>
            </w:r>
          </w:p>
        </w:tc>
        <w:tc>
          <w:tcPr>
            <w:tcW w:w="1126" w:type="dxa"/>
            <w:tcBorders>
              <w:top w:val="single" w:sz="4" w:space="0" w:color="auto"/>
              <w:left w:val="nil"/>
              <w:right w:val="single" w:sz="4" w:space="0" w:color="auto"/>
            </w:tcBorders>
          </w:tcPr>
          <w:p w:rsidR="000F1BC5" w:rsidRDefault="000F1BC5" w:rsidP="005743F3">
            <w:pPr>
              <w:jc w:val="center"/>
              <w:rPr>
                <w:b/>
                <w:sz w:val="20"/>
              </w:rPr>
            </w:pPr>
          </w:p>
          <w:p w:rsidR="000F1BC5" w:rsidRDefault="000F1BC5" w:rsidP="005743F3">
            <w:pPr>
              <w:jc w:val="center"/>
              <w:rPr>
                <w:b/>
                <w:sz w:val="20"/>
              </w:rPr>
            </w:pPr>
          </w:p>
          <w:p w:rsidR="000F1BC5" w:rsidRPr="00486DBB" w:rsidRDefault="000F1BC5" w:rsidP="005743F3">
            <w:pPr>
              <w:jc w:val="center"/>
              <w:rPr>
                <w:b/>
                <w:sz w:val="20"/>
              </w:rPr>
            </w:pPr>
            <w:r>
              <w:rPr>
                <w:b/>
                <w:sz w:val="20"/>
              </w:rPr>
              <w:t>Ед. изм.</w:t>
            </w:r>
          </w:p>
        </w:tc>
        <w:tc>
          <w:tcPr>
            <w:tcW w:w="1497" w:type="dxa"/>
            <w:tcBorders>
              <w:top w:val="single" w:sz="4" w:space="0" w:color="auto"/>
              <w:left w:val="single" w:sz="4" w:space="0" w:color="auto"/>
              <w:right w:val="single" w:sz="4" w:space="0" w:color="auto"/>
            </w:tcBorders>
            <w:vAlign w:val="center"/>
          </w:tcPr>
          <w:p w:rsidR="000F1BC5" w:rsidRPr="00486DBB" w:rsidRDefault="000F1BC5" w:rsidP="005743F3">
            <w:pPr>
              <w:jc w:val="center"/>
              <w:rPr>
                <w:b/>
                <w:sz w:val="20"/>
              </w:rPr>
            </w:pPr>
            <w:r w:rsidRPr="00486DBB">
              <w:rPr>
                <w:b/>
                <w:sz w:val="20"/>
              </w:rPr>
              <w:t> </w:t>
            </w:r>
          </w:p>
          <w:p w:rsidR="000F1BC5" w:rsidRPr="00486DBB" w:rsidRDefault="000F1BC5" w:rsidP="005743F3">
            <w:pPr>
              <w:jc w:val="center"/>
              <w:rPr>
                <w:b/>
                <w:sz w:val="20"/>
              </w:rPr>
            </w:pPr>
            <w:r w:rsidRPr="00486DBB">
              <w:rPr>
                <w:b/>
                <w:sz w:val="20"/>
              </w:rPr>
              <w:t>Факт 2013 года</w:t>
            </w:r>
          </w:p>
        </w:tc>
        <w:tc>
          <w:tcPr>
            <w:tcW w:w="1541" w:type="dxa"/>
            <w:tcBorders>
              <w:top w:val="single" w:sz="4" w:space="0" w:color="auto"/>
              <w:left w:val="nil"/>
              <w:right w:val="single" w:sz="4" w:space="0" w:color="auto"/>
            </w:tcBorders>
            <w:vAlign w:val="center"/>
          </w:tcPr>
          <w:p w:rsidR="000F1BC5" w:rsidRPr="00486DBB" w:rsidRDefault="000F1BC5" w:rsidP="005743F3">
            <w:pPr>
              <w:jc w:val="center"/>
              <w:rPr>
                <w:b/>
                <w:sz w:val="20"/>
              </w:rPr>
            </w:pPr>
            <w:r w:rsidRPr="00486DBB">
              <w:rPr>
                <w:b/>
                <w:sz w:val="20"/>
              </w:rPr>
              <w:t> </w:t>
            </w:r>
          </w:p>
          <w:p w:rsidR="000F1BC5" w:rsidRPr="00486DBB" w:rsidRDefault="000F1BC5" w:rsidP="005743F3">
            <w:pPr>
              <w:jc w:val="center"/>
              <w:rPr>
                <w:b/>
                <w:sz w:val="20"/>
              </w:rPr>
            </w:pPr>
            <w:r w:rsidRPr="00486DBB">
              <w:rPr>
                <w:b/>
                <w:sz w:val="20"/>
              </w:rPr>
              <w:t>Факт 2014 года</w:t>
            </w:r>
          </w:p>
        </w:tc>
      </w:tr>
      <w:tr w:rsidR="000F1BC5" w:rsidRPr="00056B86" w:rsidTr="005743F3">
        <w:trPr>
          <w:trHeight w:val="80"/>
        </w:trPr>
        <w:tc>
          <w:tcPr>
            <w:tcW w:w="600" w:type="dxa"/>
            <w:tcBorders>
              <w:top w:val="nil"/>
              <w:left w:val="single" w:sz="4" w:space="0" w:color="auto"/>
              <w:bottom w:val="single" w:sz="4" w:space="0" w:color="auto"/>
              <w:right w:val="single" w:sz="4" w:space="0" w:color="auto"/>
            </w:tcBorders>
            <w:noWrap/>
            <w:vAlign w:val="bottom"/>
          </w:tcPr>
          <w:p w:rsidR="000F1BC5" w:rsidRPr="00056B86" w:rsidRDefault="000F1BC5" w:rsidP="005743F3">
            <w:pPr>
              <w:rPr>
                <w:sz w:val="16"/>
                <w:szCs w:val="16"/>
              </w:rPr>
            </w:pPr>
            <w:r w:rsidRPr="00056B86">
              <w:rPr>
                <w:sz w:val="16"/>
                <w:szCs w:val="16"/>
              </w:rPr>
              <w:t> </w:t>
            </w:r>
          </w:p>
        </w:tc>
        <w:tc>
          <w:tcPr>
            <w:tcW w:w="4802" w:type="dxa"/>
            <w:tcBorders>
              <w:top w:val="nil"/>
              <w:left w:val="nil"/>
              <w:bottom w:val="single" w:sz="4" w:space="0" w:color="auto"/>
              <w:right w:val="single" w:sz="4" w:space="0" w:color="auto"/>
            </w:tcBorders>
            <w:vAlign w:val="center"/>
          </w:tcPr>
          <w:p w:rsidR="000F1BC5" w:rsidRPr="00056B86" w:rsidRDefault="000F1BC5" w:rsidP="005743F3">
            <w:pPr>
              <w:jc w:val="center"/>
              <w:rPr>
                <w:sz w:val="16"/>
                <w:szCs w:val="16"/>
              </w:rPr>
            </w:pPr>
            <w:r w:rsidRPr="00056B86">
              <w:rPr>
                <w:sz w:val="16"/>
                <w:szCs w:val="16"/>
              </w:rPr>
              <w:t> </w:t>
            </w:r>
          </w:p>
        </w:tc>
        <w:tc>
          <w:tcPr>
            <w:tcW w:w="1126" w:type="dxa"/>
            <w:tcBorders>
              <w:top w:val="nil"/>
              <w:left w:val="nil"/>
              <w:bottom w:val="single" w:sz="4" w:space="0" w:color="auto"/>
              <w:right w:val="single" w:sz="4" w:space="0" w:color="auto"/>
            </w:tcBorders>
          </w:tcPr>
          <w:p w:rsidR="000F1BC5" w:rsidRPr="00056B86" w:rsidRDefault="000F1BC5" w:rsidP="005743F3">
            <w:pPr>
              <w:jc w:val="center"/>
            </w:pPr>
          </w:p>
        </w:tc>
        <w:tc>
          <w:tcPr>
            <w:tcW w:w="1497" w:type="dxa"/>
            <w:tcBorders>
              <w:top w:val="nil"/>
              <w:left w:val="single" w:sz="4" w:space="0" w:color="auto"/>
              <w:bottom w:val="single" w:sz="4" w:space="0" w:color="auto"/>
              <w:right w:val="single" w:sz="4" w:space="0" w:color="auto"/>
            </w:tcBorders>
            <w:vAlign w:val="center"/>
          </w:tcPr>
          <w:p w:rsidR="000F1BC5" w:rsidRPr="00056B86" w:rsidRDefault="000F1BC5" w:rsidP="005743F3">
            <w:pPr>
              <w:jc w:val="center"/>
            </w:pPr>
            <w:r w:rsidRPr="00056B86">
              <w:t> </w:t>
            </w:r>
          </w:p>
        </w:tc>
        <w:tc>
          <w:tcPr>
            <w:tcW w:w="1541" w:type="dxa"/>
            <w:tcBorders>
              <w:top w:val="nil"/>
              <w:left w:val="nil"/>
              <w:bottom w:val="single" w:sz="4" w:space="0" w:color="auto"/>
              <w:right w:val="single" w:sz="4" w:space="0" w:color="auto"/>
            </w:tcBorders>
            <w:vAlign w:val="center"/>
          </w:tcPr>
          <w:p w:rsidR="000F1BC5" w:rsidRPr="00056B86" w:rsidRDefault="000F1BC5" w:rsidP="005743F3">
            <w:pPr>
              <w:jc w:val="center"/>
            </w:pPr>
            <w:r w:rsidRPr="00056B86">
              <w:t> </w:t>
            </w:r>
          </w:p>
        </w:tc>
      </w:tr>
      <w:tr w:rsidR="000F1BC5" w:rsidRPr="00056B86" w:rsidTr="005743F3">
        <w:trPr>
          <w:trHeight w:val="255"/>
        </w:trPr>
        <w:tc>
          <w:tcPr>
            <w:tcW w:w="600" w:type="dxa"/>
            <w:tcBorders>
              <w:top w:val="nil"/>
              <w:left w:val="single" w:sz="4" w:space="0" w:color="auto"/>
              <w:bottom w:val="single" w:sz="4" w:space="0" w:color="auto"/>
              <w:right w:val="single" w:sz="4" w:space="0" w:color="auto"/>
            </w:tcBorders>
            <w:noWrap/>
            <w:vAlign w:val="bottom"/>
          </w:tcPr>
          <w:p w:rsidR="000F1BC5" w:rsidRPr="00056B86" w:rsidRDefault="000F1BC5" w:rsidP="005743F3">
            <w:pPr>
              <w:jc w:val="right"/>
              <w:rPr>
                <w:b/>
                <w:bCs/>
                <w:sz w:val="24"/>
                <w:szCs w:val="24"/>
              </w:rPr>
            </w:pPr>
            <w:r w:rsidRPr="00056B86">
              <w:rPr>
                <w:b/>
                <w:bCs/>
                <w:sz w:val="24"/>
                <w:szCs w:val="24"/>
              </w:rPr>
              <w:t>1.</w:t>
            </w:r>
          </w:p>
        </w:tc>
        <w:tc>
          <w:tcPr>
            <w:tcW w:w="4802" w:type="dxa"/>
            <w:tcBorders>
              <w:top w:val="nil"/>
              <w:left w:val="nil"/>
              <w:bottom w:val="single" w:sz="4" w:space="0" w:color="auto"/>
              <w:right w:val="single" w:sz="4" w:space="0" w:color="auto"/>
            </w:tcBorders>
            <w:vAlign w:val="bottom"/>
          </w:tcPr>
          <w:p w:rsidR="000F1BC5" w:rsidRPr="00056B86" w:rsidRDefault="000F1BC5" w:rsidP="005743F3">
            <w:pPr>
              <w:rPr>
                <w:b/>
                <w:bCs/>
                <w:sz w:val="24"/>
                <w:szCs w:val="24"/>
              </w:rPr>
            </w:pPr>
            <w:r w:rsidRPr="00056B86">
              <w:rPr>
                <w:b/>
                <w:bCs/>
                <w:sz w:val="24"/>
                <w:szCs w:val="24"/>
              </w:rPr>
              <w:t>Налоговые доходы</w:t>
            </w:r>
            <w:r>
              <w:rPr>
                <w:b/>
                <w:bCs/>
                <w:sz w:val="24"/>
                <w:szCs w:val="24"/>
              </w:rPr>
              <w:t>,</w:t>
            </w:r>
            <w:r w:rsidRPr="00056B86">
              <w:rPr>
                <w:b/>
                <w:bCs/>
                <w:sz w:val="24"/>
                <w:szCs w:val="24"/>
              </w:rPr>
              <w:t xml:space="preserve"> всего</w:t>
            </w:r>
          </w:p>
        </w:tc>
        <w:tc>
          <w:tcPr>
            <w:tcW w:w="1126" w:type="dxa"/>
            <w:tcBorders>
              <w:top w:val="nil"/>
              <w:left w:val="nil"/>
              <w:bottom w:val="single" w:sz="4" w:space="0" w:color="auto"/>
              <w:right w:val="single" w:sz="4" w:space="0" w:color="auto"/>
            </w:tcBorders>
          </w:tcPr>
          <w:p w:rsidR="000F1BC5" w:rsidRPr="009C47CF" w:rsidRDefault="000F1BC5" w:rsidP="005743F3">
            <w:pPr>
              <w:jc w:val="right"/>
              <w:rPr>
                <w:b/>
                <w:bCs/>
                <w:sz w:val="20"/>
              </w:rPr>
            </w:pPr>
            <w:r w:rsidRPr="009C47CF">
              <w:rPr>
                <w:bCs/>
                <w:sz w:val="20"/>
              </w:rPr>
              <w:t>тыс. руб</w:t>
            </w:r>
            <w:r w:rsidRPr="009C47CF">
              <w:rPr>
                <w:b/>
                <w:bCs/>
                <w:sz w:val="20"/>
              </w:rPr>
              <w:t>.</w:t>
            </w:r>
          </w:p>
        </w:tc>
        <w:tc>
          <w:tcPr>
            <w:tcW w:w="1497" w:type="dxa"/>
            <w:tcBorders>
              <w:top w:val="nil"/>
              <w:left w:val="single" w:sz="4" w:space="0" w:color="auto"/>
              <w:bottom w:val="single" w:sz="4" w:space="0" w:color="auto"/>
              <w:right w:val="single" w:sz="4" w:space="0" w:color="auto"/>
            </w:tcBorders>
            <w:noWrap/>
            <w:vAlign w:val="bottom"/>
          </w:tcPr>
          <w:p w:rsidR="000F1BC5" w:rsidRPr="009C47CF" w:rsidRDefault="000F1BC5" w:rsidP="005743F3">
            <w:pPr>
              <w:jc w:val="right"/>
              <w:rPr>
                <w:b/>
                <w:bCs/>
                <w:sz w:val="20"/>
              </w:rPr>
            </w:pPr>
            <w:r w:rsidRPr="009C47CF">
              <w:rPr>
                <w:b/>
                <w:bCs/>
                <w:sz w:val="20"/>
              </w:rPr>
              <w:t>42 242 368,2</w:t>
            </w:r>
          </w:p>
        </w:tc>
        <w:tc>
          <w:tcPr>
            <w:tcW w:w="1541" w:type="dxa"/>
            <w:tcBorders>
              <w:top w:val="nil"/>
              <w:left w:val="nil"/>
              <w:bottom w:val="single" w:sz="4" w:space="0" w:color="auto"/>
              <w:right w:val="single" w:sz="4" w:space="0" w:color="auto"/>
            </w:tcBorders>
            <w:noWrap/>
            <w:vAlign w:val="bottom"/>
          </w:tcPr>
          <w:p w:rsidR="000F1BC5" w:rsidRPr="009C47CF" w:rsidRDefault="000F1BC5" w:rsidP="005743F3">
            <w:pPr>
              <w:jc w:val="right"/>
              <w:rPr>
                <w:b/>
                <w:bCs/>
                <w:sz w:val="20"/>
              </w:rPr>
            </w:pPr>
            <w:r w:rsidRPr="009C47CF">
              <w:rPr>
                <w:b/>
                <w:bCs/>
                <w:sz w:val="20"/>
              </w:rPr>
              <w:t>43 587 271,7</w:t>
            </w:r>
          </w:p>
        </w:tc>
      </w:tr>
      <w:tr w:rsidR="000F1BC5" w:rsidRPr="00056B86" w:rsidTr="005743F3">
        <w:trPr>
          <w:trHeight w:val="255"/>
        </w:trPr>
        <w:tc>
          <w:tcPr>
            <w:tcW w:w="600" w:type="dxa"/>
            <w:tcBorders>
              <w:top w:val="nil"/>
              <w:left w:val="single" w:sz="4" w:space="0" w:color="auto"/>
              <w:bottom w:val="single" w:sz="4" w:space="0" w:color="auto"/>
              <w:right w:val="single" w:sz="4" w:space="0" w:color="auto"/>
            </w:tcBorders>
            <w:noWrap/>
            <w:vAlign w:val="bottom"/>
          </w:tcPr>
          <w:p w:rsidR="000F1BC5" w:rsidRPr="00056B86" w:rsidRDefault="000F1BC5" w:rsidP="005743F3">
            <w:pPr>
              <w:jc w:val="right"/>
              <w:rPr>
                <w:sz w:val="24"/>
                <w:szCs w:val="24"/>
              </w:rPr>
            </w:pPr>
            <w:r w:rsidRPr="00056B86">
              <w:rPr>
                <w:sz w:val="24"/>
                <w:szCs w:val="24"/>
              </w:rPr>
              <w:t> </w:t>
            </w:r>
          </w:p>
        </w:tc>
        <w:tc>
          <w:tcPr>
            <w:tcW w:w="4802" w:type="dxa"/>
            <w:tcBorders>
              <w:top w:val="nil"/>
              <w:left w:val="nil"/>
              <w:bottom w:val="single" w:sz="4" w:space="0" w:color="auto"/>
              <w:right w:val="single" w:sz="4" w:space="0" w:color="auto"/>
            </w:tcBorders>
            <w:vAlign w:val="bottom"/>
          </w:tcPr>
          <w:p w:rsidR="000F1BC5" w:rsidRPr="00056B86" w:rsidRDefault="000F1BC5" w:rsidP="005743F3">
            <w:pPr>
              <w:rPr>
                <w:sz w:val="24"/>
                <w:szCs w:val="24"/>
              </w:rPr>
            </w:pPr>
            <w:r w:rsidRPr="00056B86">
              <w:rPr>
                <w:sz w:val="24"/>
                <w:szCs w:val="24"/>
              </w:rPr>
              <w:t>в том числе:</w:t>
            </w:r>
          </w:p>
        </w:tc>
        <w:tc>
          <w:tcPr>
            <w:tcW w:w="1126" w:type="dxa"/>
            <w:tcBorders>
              <w:top w:val="nil"/>
              <w:left w:val="nil"/>
              <w:bottom w:val="single" w:sz="4" w:space="0" w:color="auto"/>
              <w:right w:val="single" w:sz="4" w:space="0" w:color="auto"/>
            </w:tcBorders>
          </w:tcPr>
          <w:p w:rsidR="000F1BC5" w:rsidRPr="009C47CF" w:rsidRDefault="000F1BC5" w:rsidP="005743F3">
            <w:pPr>
              <w:jc w:val="right"/>
              <w:rPr>
                <w:sz w:val="20"/>
              </w:rPr>
            </w:pPr>
          </w:p>
        </w:tc>
        <w:tc>
          <w:tcPr>
            <w:tcW w:w="1497" w:type="dxa"/>
            <w:tcBorders>
              <w:top w:val="nil"/>
              <w:left w:val="single" w:sz="4" w:space="0" w:color="auto"/>
              <w:bottom w:val="single" w:sz="4" w:space="0" w:color="auto"/>
              <w:right w:val="single" w:sz="4" w:space="0" w:color="auto"/>
            </w:tcBorders>
            <w:noWrap/>
            <w:vAlign w:val="bottom"/>
          </w:tcPr>
          <w:p w:rsidR="000F1BC5" w:rsidRPr="009C47CF" w:rsidRDefault="000F1BC5" w:rsidP="005743F3">
            <w:pPr>
              <w:jc w:val="right"/>
              <w:rPr>
                <w:sz w:val="20"/>
              </w:rPr>
            </w:pPr>
          </w:p>
        </w:tc>
        <w:tc>
          <w:tcPr>
            <w:tcW w:w="1541" w:type="dxa"/>
            <w:tcBorders>
              <w:top w:val="nil"/>
              <w:left w:val="nil"/>
              <w:bottom w:val="single" w:sz="4" w:space="0" w:color="auto"/>
              <w:right w:val="single" w:sz="4" w:space="0" w:color="auto"/>
            </w:tcBorders>
            <w:noWrap/>
            <w:vAlign w:val="bottom"/>
          </w:tcPr>
          <w:p w:rsidR="000F1BC5" w:rsidRPr="009C47CF" w:rsidRDefault="000F1BC5" w:rsidP="005743F3">
            <w:pPr>
              <w:jc w:val="right"/>
              <w:rPr>
                <w:sz w:val="20"/>
              </w:rPr>
            </w:pPr>
          </w:p>
        </w:tc>
      </w:tr>
      <w:tr w:rsidR="000F1BC5" w:rsidRPr="00056B86" w:rsidTr="005743F3">
        <w:trPr>
          <w:trHeight w:val="1071"/>
        </w:trPr>
        <w:tc>
          <w:tcPr>
            <w:tcW w:w="600" w:type="dxa"/>
            <w:tcBorders>
              <w:top w:val="nil"/>
              <w:left w:val="single" w:sz="4" w:space="0" w:color="auto"/>
              <w:bottom w:val="single" w:sz="4" w:space="0" w:color="auto"/>
              <w:right w:val="single" w:sz="4" w:space="0" w:color="auto"/>
            </w:tcBorders>
            <w:noWrap/>
            <w:vAlign w:val="bottom"/>
          </w:tcPr>
          <w:p w:rsidR="000F1BC5" w:rsidRPr="00056B86" w:rsidRDefault="000F1BC5" w:rsidP="005743F3">
            <w:pPr>
              <w:jc w:val="right"/>
              <w:rPr>
                <w:sz w:val="24"/>
                <w:szCs w:val="24"/>
              </w:rPr>
            </w:pPr>
            <w:r>
              <w:rPr>
                <w:sz w:val="24"/>
                <w:szCs w:val="24"/>
              </w:rPr>
              <w:t>1</w:t>
            </w:r>
            <w:r w:rsidRPr="00056B86">
              <w:rPr>
                <w:sz w:val="24"/>
                <w:szCs w:val="24"/>
              </w:rPr>
              <w:t>.</w:t>
            </w:r>
            <w:r>
              <w:rPr>
                <w:sz w:val="24"/>
                <w:szCs w:val="24"/>
              </w:rPr>
              <w:t>1</w:t>
            </w:r>
          </w:p>
        </w:tc>
        <w:tc>
          <w:tcPr>
            <w:tcW w:w="4802" w:type="dxa"/>
            <w:tcBorders>
              <w:top w:val="nil"/>
              <w:left w:val="nil"/>
              <w:bottom w:val="single" w:sz="4" w:space="0" w:color="auto"/>
              <w:right w:val="single" w:sz="4" w:space="0" w:color="auto"/>
            </w:tcBorders>
            <w:vAlign w:val="bottom"/>
          </w:tcPr>
          <w:p w:rsidR="000F1BC5" w:rsidRPr="00056B86" w:rsidRDefault="000F1BC5" w:rsidP="005743F3">
            <w:pPr>
              <w:rPr>
                <w:sz w:val="24"/>
                <w:szCs w:val="24"/>
              </w:rPr>
            </w:pPr>
            <w:r w:rsidRPr="00056B86">
              <w:rPr>
                <w:sz w:val="24"/>
                <w:szCs w:val="24"/>
              </w:rPr>
              <w:t>налог на прибыль от организаций</w:t>
            </w:r>
            <w:r>
              <w:rPr>
                <w:sz w:val="24"/>
                <w:szCs w:val="24"/>
              </w:rPr>
              <w:t xml:space="preserve"> </w:t>
            </w:r>
            <w:r w:rsidRPr="00056B86">
              <w:rPr>
                <w:sz w:val="24"/>
                <w:szCs w:val="24"/>
              </w:rPr>
              <w:t>- обособленных подразделений и КГН, доходы от уплаты акцизов на нефтепродукты</w:t>
            </w:r>
          </w:p>
        </w:tc>
        <w:tc>
          <w:tcPr>
            <w:tcW w:w="1126" w:type="dxa"/>
            <w:tcBorders>
              <w:top w:val="nil"/>
              <w:left w:val="nil"/>
              <w:bottom w:val="single" w:sz="4" w:space="0" w:color="auto"/>
              <w:right w:val="single" w:sz="4" w:space="0" w:color="auto"/>
            </w:tcBorders>
          </w:tcPr>
          <w:p w:rsidR="000F1BC5" w:rsidRPr="009C47CF" w:rsidRDefault="000F1BC5" w:rsidP="005743F3">
            <w:pPr>
              <w:jc w:val="right"/>
              <w:rPr>
                <w:bCs/>
                <w:sz w:val="20"/>
              </w:rPr>
            </w:pPr>
          </w:p>
          <w:p w:rsidR="000F1BC5" w:rsidRPr="009C47CF" w:rsidRDefault="000F1BC5" w:rsidP="005743F3">
            <w:pPr>
              <w:jc w:val="right"/>
              <w:rPr>
                <w:bCs/>
                <w:sz w:val="20"/>
              </w:rPr>
            </w:pPr>
          </w:p>
          <w:p w:rsidR="000F1BC5" w:rsidRPr="009C47CF" w:rsidRDefault="000F1BC5" w:rsidP="005743F3">
            <w:pPr>
              <w:jc w:val="right"/>
              <w:rPr>
                <w:bCs/>
                <w:sz w:val="20"/>
              </w:rPr>
            </w:pPr>
          </w:p>
          <w:p w:rsidR="000F1BC5" w:rsidRPr="009C47CF" w:rsidRDefault="000F1BC5" w:rsidP="005743F3">
            <w:pPr>
              <w:jc w:val="right"/>
              <w:rPr>
                <w:bCs/>
                <w:sz w:val="20"/>
              </w:rPr>
            </w:pPr>
          </w:p>
          <w:p w:rsidR="000F1BC5" w:rsidRPr="009C47CF" w:rsidRDefault="000F1BC5" w:rsidP="005743F3">
            <w:pPr>
              <w:jc w:val="right"/>
              <w:rPr>
                <w:sz w:val="20"/>
              </w:rPr>
            </w:pPr>
            <w:r w:rsidRPr="009C47CF">
              <w:rPr>
                <w:bCs/>
                <w:sz w:val="20"/>
              </w:rPr>
              <w:t>тыс. руб</w:t>
            </w:r>
            <w:r w:rsidRPr="009C47CF">
              <w:rPr>
                <w:b/>
                <w:bCs/>
                <w:sz w:val="20"/>
              </w:rPr>
              <w:t>.</w:t>
            </w:r>
          </w:p>
        </w:tc>
        <w:tc>
          <w:tcPr>
            <w:tcW w:w="1497" w:type="dxa"/>
            <w:tcBorders>
              <w:top w:val="nil"/>
              <w:left w:val="single" w:sz="4" w:space="0" w:color="auto"/>
              <w:bottom w:val="single" w:sz="4" w:space="0" w:color="auto"/>
              <w:right w:val="single" w:sz="4" w:space="0" w:color="auto"/>
            </w:tcBorders>
            <w:noWrap/>
            <w:vAlign w:val="bottom"/>
          </w:tcPr>
          <w:p w:rsidR="000F1BC5" w:rsidRPr="009C47CF" w:rsidRDefault="000F1BC5" w:rsidP="005743F3">
            <w:pPr>
              <w:jc w:val="right"/>
              <w:rPr>
                <w:sz w:val="20"/>
              </w:rPr>
            </w:pPr>
            <w:r w:rsidRPr="009C47CF">
              <w:rPr>
                <w:sz w:val="20"/>
              </w:rPr>
              <w:t>8 718 659,0</w:t>
            </w:r>
          </w:p>
        </w:tc>
        <w:tc>
          <w:tcPr>
            <w:tcW w:w="1541" w:type="dxa"/>
            <w:tcBorders>
              <w:top w:val="nil"/>
              <w:left w:val="nil"/>
              <w:bottom w:val="single" w:sz="4" w:space="0" w:color="auto"/>
              <w:right w:val="single" w:sz="4" w:space="0" w:color="auto"/>
            </w:tcBorders>
            <w:noWrap/>
            <w:vAlign w:val="bottom"/>
          </w:tcPr>
          <w:p w:rsidR="000F1BC5" w:rsidRPr="009C47CF" w:rsidRDefault="000F1BC5" w:rsidP="005743F3">
            <w:pPr>
              <w:jc w:val="right"/>
              <w:rPr>
                <w:sz w:val="20"/>
              </w:rPr>
            </w:pPr>
            <w:r w:rsidRPr="009C47CF">
              <w:rPr>
                <w:sz w:val="20"/>
              </w:rPr>
              <w:t>8 655 769,0</w:t>
            </w:r>
          </w:p>
        </w:tc>
      </w:tr>
      <w:tr w:rsidR="000F1BC5" w:rsidRPr="00056B86" w:rsidTr="005743F3">
        <w:trPr>
          <w:trHeight w:val="1032"/>
        </w:trPr>
        <w:tc>
          <w:tcPr>
            <w:tcW w:w="600" w:type="dxa"/>
            <w:tcBorders>
              <w:top w:val="nil"/>
              <w:left w:val="single" w:sz="4" w:space="0" w:color="auto"/>
              <w:bottom w:val="single" w:sz="4" w:space="0" w:color="auto"/>
              <w:right w:val="single" w:sz="4" w:space="0" w:color="auto"/>
            </w:tcBorders>
            <w:noWrap/>
            <w:vAlign w:val="bottom"/>
          </w:tcPr>
          <w:p w:rsidR="000F1BC5" w:rsidRPr="00056B86" w:rsidRDefault="000F1BC5" w:rsidP="005743F3">
            <w:pPr>
              <w:jc w:val="right"/>
              <w:rPr>
                <w:sz w:val="24"/>
                <w:szCs w:val="24"/>
              </w:rPr>
            </w:pPr>
            <w:r>
              <w:rPr>
                <w:sz w:val="24"/>
                <w:szCs w:val="24"/>
              </w:rPr>
              <w:t>2</w:t>
            </w:r>
            <w:r w:rsidRPr="00056B86">
              <w:rPr>
                <w:sz w:val="24"/>
                <w:szCs w:val="24"/>
              </w:rPr>
              <w:t>.</w:t>
            </w:r>
          </w:p>
        </w:tc>
        <w:tc>
          <w:tcPr>
            <w:tcW w:w="4802" w:type="dxa"/>
            <w:tcBorders>
              <w:top w:val="nil"/>
              <w:left w:val="nil"/>
              <w:bottom w:val="single" w:sz="4" w:space="0" w:color="auto"/>
              <w:right w:val="single" w:sz="4" w:space="0" w:color="auto"/>
            </w:tcBorders>
            <w:vAlign w:val="bottom"/>
          </w:tcPr>
          <w:p w:rsidR="000F1BC5" w:rsidRPr="00056B86" w:rsidRDefault="000F1BC5" w:rsidP="005743F3">
            <w:pPr>
              <w:rPr>
                <w:sz w:val="24"/>
                <w:szCs w:val="24"/>
              </w:rPr>
            </w:pPr>
            <w:r w:rsidRPr="00056B86">
              <w:rPr>
                <w:sz w:val="24"/>
                <w:szCs w:val="24"/>
              </w:rPr>
              <w:t xml:space="preserve">Оценка влияния обособленных подразделений, </w:t>
            </w:r>
            <w:proofErr w:type="spellStart"/>
            <w:r w:rsidRPr="00056B86">
              <w:rPr>
                <w:sz w:val="24"/>
                <w:szCs w:val="24"/>
              </w:rPr>
              <w:t>КГНов</w:t>
            </w:r>
            <w:proofErr w:type="spellEnd"/>
            <w:r w:rsidRPr="00056B86">
              <w:rPr>
                <w:sz w:val="24"/>
                <w:szCs w:val="24"/>
              </w:rPr>
              <w:t xml:space="preserve"> и налогоплательщиков доходов от уплаты акцизов на нефтепродукты в формировании доходов консолидированного бюджета Тверской области</w:t>
            </w:r>
          </w:p>
        </w:tc>
        <w:tc>
          <w:tcPr>
            <w:tcW w:w="1126" w:type="dxa"/>
            <w:tcBorders>
              <w:top w:val="nil"/>
              <w:left w:val="nil"/>
              <w:bottom w:val="single" w:sz="4" w:space="0" w:color="auto"/>
              <w:right w:val="single" w:sz="4" w:space="0" w:color="auto"/>
            </w:tcBorders>
          </w:tcPr>
          <w:p w:rsidR="000F1BC5" w:rsidRPr="009C47CF" w:rsidRDefault="000F1BC5" w:rsidP="005743F3">
            <w:pPr>
              <w:jc w:val="right"/>
              <w:rPr>
                <w:sz w:val="20"/>
              </w:rPr>
            </w:pPr>
          </w:p>
          <w:p w:rsidR="000F1BC5" w:rsidRPr="009C47CF" w:rsidRDefault="000F1BC5" w:rsidP="005743F3">
            <w:pPr>
              <w:jc w:val="right"/>
              <w:rPr>
                <w:sz w:val="20"/>
              </w:rPr>
            </w:pPr>
          </w:p>
          <w:p w:rsidR="000F1BC5" w:rsidRPr="009C47CF" w:rsidRDefault="000F1BC5" w:rsidP="005743F3">
            <w:pPr>
              <w:jc w:val="right"/>
              <w:rPr>
                <w:sz w:val="20"/>
              </w:rPr>
            </w:pPr>
          </w:p>
          <w:p w:rsidR="000F1BC5" w:rsidRPr="009C47CF" w:rsidRDefault="000F1BC5" w:rsidP="005743F3">
            <w:pPr>
              <w:jc w:val="right"/>
              <w:rPr>
                <w:sz w:val="20"/>
              </w:rPr>
            </w:pPr>
          </w:p>
          <w:p w:rsidR="000F1BC5" w:rsidRPr="009C47CF" w:rsidRDefault="000F1BC5" w:rsidP="005743F3">
            <w:pPr>
              <w:jc w:val="right"/>
              <w:rPr>
                <w:sz w:val="20"/>
              </w:rPr>
            </w:pPr>
          </w:p>
          <w:p w:rsidR="000F1BC5" w:rsidRPr="009C47CF" w:rsidRDefault="000F1BC5" w:rsidP="005743F3">
            <w:pPr>
              <w:jc w:val="right"/>
              <w:rPr>
                <w:sz w:val="20"/>
              </w:rPr>
            </w:pPr>
          </w:p>
          <w:p w:rsidR="000F1BC5" w:rsidRPr="009C47CF" w:rsidRDefault="000F1BC5" w:rsidP="005743F3">
            <w:pPr>
              <w:jc w:val="right"/>
              <w:rPr>
                <w:sz w:val="20"/>
              </w:rPr>
            </w:pPr>
            <w:r w:rsidRPr="009C47CF">
              <w:rPr>
                <w:sz w:val="20"/>
              </w:rPr>
              <w:t>%</w:t>
            </w:r>
          </w:p>
        </w:tc>
        <w:tc>
          <w:tcPr>
            <w:tcW w:w="1497" w:type="dxa"/>
            <w:tcBorders>
              <w:top w:val="nil"/>
              <w:left w:val="single" w:sz="4" w:space="0" w:color="auto"/>
              <w:bottom w:val="single" w:sz="4" w:space="0" w:color="auto"/>
              <w:right w:val="single" w:sz="4" w:space="0" w:color="auto"/>
            </w:tcBorders>
            <w:noWrap/>
            <w:vAlign w:val="bottom"/>
          </w:tcPr>
          <w:p w:rsidR="000F1BC5" w:rsidRPr="009C47CF" w:rsidRDefault="000F1BC5" w:rsidP="005743F3">
            <w:pPr>
              <w:jc w:val="right"/>
              <w:rPr>
                <w:sz w:val="20"/>
              </w:rPr>
            </w:pPr>
            <w:r w:rsidRPr="009C47CF">
              <w:rPr>
                <w:sz w:val="20"/>
              </w:rPr>
              <w:t>20,6</w:t>
            </w:r>
          </w:p>
        </w:tc>
        <w:tc>
          <w:tcPr>
            <w:tcW w:w="1541" w:type="dxa"/>
            <w:tcBorders>
              <w:top w:val="nil"/>
              <w:left w:val="nil"/>
              <w:bottom w:val="single" w:sz="4" w:space="0" w:color="auto"/>
              <w:right w:val="single" w:sz="4" w:space="0" w:color="auto"/>
            </w:tcBorders>
            <w:noWrap/>
            <w:vAlign w:val="bottom"/>
          </w:tcPr>
          <w:p w:rsidR="000F1BC5" w:rsidRPr="009C47CF" w:rsidRDefault="000F1BC5" w:rsidP="005743F3">
            <w:pPr>
              <w:jc w:val="right"/>
              <w:rPr>
                <w:sz w:val="20"/>
              </w:rPr>
            </w:pPr>
            <w:r w:rsidRPr="009C47CF">
              <w:rPr>
                <w:sz w:val="20"/>
              </w:rPr>
              <w:t>19,9</w:t>
            </w:r>
          </w:p>
        </w:tc>
      </w:tr>
    </w:tbl>
    <w:p w:rsidR="000F1BC5" w:rsidRPr="00056B86" w:rsidRDefault="000F1BC5" w:rsidP="000F1BC5">
      <w:pPr>
        <w:jc w:val="both"/>
        <w:rPr>
          <w:szCs w:val="28"/>
          <w:lang w:val="en-US"/>
        </w:rPr>
      </w:pPr>
    </w:p>
    <w:p w:rsidR="000F1BC5" w:rsidRPr="00056B86" w:rsidRDefault="000F1BC5" w:rsidP="000F1BC5">
      <w:pPr>
        <w:ind w:firstLine="709"/>
        <w:jc w:val="both"/>
        <w:rPr>
          <w:szCs w:val="28"/>
        </w:rPr>
      </w:pPr>
      <w:r w:rsidRPr="00056B86">
        <w:rPr>
          <w:szCs w:val="28"/>
        </w:rPr>
        <w:t xml:space="preserve">Как видно из таблицы 2 налоговые доходы консолидированного бюджета Тверской области почти на 20 процентов формируются из налогов от налогоплательщиков </w:t>
      </w:r>
      <w:r>
        <w:rPr>
          <w:szCs w:val="28"/>
        </w:rPr>
        <w:t xml:space="preserve">Российской Федерации: </w:t>
      </w:r>
      <w:r w:rsidRPr="00056B86">
        <w:rPr>
          <w:szCs w:val="28"/>
        </w:rPr>
        <w:t>налога на прибыль от обособленных подразделений, головные организации которых находятс</w:t>
      </w:r>
      <w:r>
        <w:rPr>
          <w:szCs w:val="28"/>
        </w:rPr>
        <w:t xml:space="preserve">я за </w:t>
      </w:r>
      <w:r>
        <w:rPr>
          <w:szCs w:val="28"/>
        </w:rPr>
        <w:lastRenderedPageBreak/>
        <w:t>пределами Тверской области; поступления</w:t>
      </w:r>
      <w:r w:rsidRPr="00056B86">
        <w:rPr>
          <w:szCs w:val="28"/>
        </w:rPr>
        <w:t xml:space="preserve"> налога на прибыль от КГН и доходов от уплаты акцизов на нефтепродукты.</w:t>
      </w:r>
    </w:p>
    <w:p w:rsidR="000F1BC5" w:rsidRPr="00056B86" w:rsidRDefault="000F1BC5" w:rsidP="000F1BC5">
      <w:pPr>
        <w:ind w:firstLine="709"/>
        <w:jc w:val="both"/>
        <w:rPr>
          <w:szCs w:val="28"/>
        </w:rPr>
      </w:pPr>
    </w:p>
    <w:p w:rsidR="000F1BC5" w:rsidRPr="00056B86" w:rsidRDefault="000F1BC5" w:rsidP="000F1BC5">
      <w:pPr>
        <w:ind w:left="49"/>
        <w:jc w:val="both"/>
        <w:rPr>
          <w:b/>
          <w:bCs/>
          <w:szCs w:val="28"/>
        </w:rPr>
      </w:pPr>
      <w:r>
        <w:rPr>
          <w:b/>
          <w:bCs/>
          <w:szCs w:val="28"/>
        </w:rPr>
        <w:t xml:space="preserve">         1.</w:t>
      </w:r>
      <w:r w:rsidRPr="00056B86">
        <w:rPr>
          <w:b/>
          <w:bCs/>
          <w:szCs w:val="28"/>
        </w:rPr>
        <w:t>2. Итоги функционирования консолидированных групп налогоплательщиков в 2012 – 2014 годах</w:t>
      </w:r>
    </w:p>
    <w:p w:rsidR="000F1BC5" w:rsidRPr="00056B86" w:rsidRDefault="000F1BC5" w:rsidP="000F1BC5">
      <w:pPr>
        <w:ind w:left="49"/>
        <w:rPr>
          <w:b/>
          <w:bCs/>
          <w:sz w:val="18"/>
          <w:szCs w:val="18"/>
        </w:rPr>
      </w:pPr>
    </w:p>
    <w:p w:rsidR="000F1BC5" w:rsidRPr="00EE518B" w:rsidRDefault="000F1BC5" w:rsidP="000F1BC5">
      <w:pPr>
        <w:autoSpaceDE w:val="0"/>
        <w:autoSpaceDN w:val="0"/>
        <w:adjustRightInd w:val="0"/>
        <w:ind w:firstLine="540"/>
        <w:jc w:val="both"/>
        <w:rPr>
          <w:szCs w:val="28"/>
        </w:rPr>
      </w:pPr>
      <w:r w:rsidRPr="00E205BB">
        <w:rPr>
          <w:szCs w:val="28"/>
        </w:rPr>
        <w:t xml:space="preserve">   </w:t>
      </w:r>
      <w:proofErr w:type="gramStart"/>
      <w:r>
        <w:rPr>
          <w:szCs w:val="28"/>
          <w:lang w:val="en-US"/>
        </w:rPr>
        <w:t>C</w:t>
      </w:r>
      <w:r w:rsidRPr="00E205BB">
        <w:rPr>
          <w:szCs w:val="28"/>
        </w:rPr>
        <w:t xml:space="preserve"> </w:t>
      </w:r>
      <w:r>
        <w:rPr>
          <w:szCs w:val="28"/>
        </w:rPr>
        <w:t>2012 года</w:t>
      </w:r>
      <w:r w:rsidRPr="00EE518B">
        <w:rPr>
          <w:szCs w:val="28"/>
        </w:rPr>
        <w:t xml:space="preserve"> в налоговом законодательстве появилось новое понятие - консолидированная группа налогоплательщиков.</w:t>
      </w:r>
      <w:proofErr w:type="gramEnd"/>
    </w:p>
    <w:p w:rsidR="000F1BC5" w:rsidRPr="00E205BB" w:rsidRDefault="000F1BC5" w:rsidP="000F1BC5">
      <w:pPr>
        <w:ind w:firstLine="720"/>
        <w:jc w:val="both"/>
        <w:rPr>
          <w:szCs w:val="28"/>
        </w:rPr>
      </w:pPr>
      <w:proofErr w:type="gramStart"/>
      <w:r w:rsidRPr="00E205BB">
        <w:rPr>
          <w:szCs w:val="28"/>
        </w:rPr>
        <w:t>В 2012 году на территории Тверской области зарегистрировано 6 КГН, в 2013 году количество КГН увеличилось до 11 (ответственные участники:</w:t>
      </w:r>
      <w:proofErr w:type="gramEnd"/>
      <w:r w:rsidRPr="00E205BB">
        <w:rPr>
          <w:szCs w:val="28"/>
        </w:rPr>
        <w:t xml:space="preserve"> ОАО «Сургутнефтегаз», ОАО «Лукойл», ОАО «АК «</w:t>
      </w:r>
      <w:proofErr w:type="spellStart"/>
      <w:r w:rsidRPr="00E205BB">
        <w:rPr>
          <w:szCs w:val="28"/>
        </w:rPr>
        <w:t>Транснефть</w:t>
      </w:r>
      <w:proofErr w:type="spellEnd"/>
      <w:r w:rsidRPr="00E205BB">
        <w:rPr>
          <w:szCs w:val="28"/>
        </w:rPr>
        <w:t>», ЗАО «Мегафон-Интернэшнл», ОАО «</w:t>
      </w:r>
      <w:proofErr w:type="spellStart"/>
      <w:r w:rsidRPr="00E205BB">
        <w:rPr>
          <w:szCs w:val="28"/>
        </w:rPr>
        <w:t>РТКомм</w:t>
      </w:r>
      <w:proofErr w:type="gramStart"/>
      <w:r w:rsidRPr="00E205BB">
        <w:rPr>
          <w:szCs w:val="28"/>
        </w:rPr>
        <w:t>.Р</w:t>
      </w:r>
      <w:proofErr w:type="gramEnd"/>
      <w:r w:rsidRPr="00E205BB">
        <w:rPr>
          <w:szCs w:val="28"/>
        </w:rPr>
        <w:t>У</w:t>
      </w:r>
      <w:proofErr w:type="spellEnd"/>
      <w:r w:rsidRPr="00E205BB">
        <w:rPr>
          <w:szCs w:val="28"/>
        </w:rPr>
        <w:t>», ОАО «Газпром», ОАО «НК «Роснефть», ОАО «Газпром нефть», ОАО «</w:t>
      </w:r>
      <w:proofErr w:type="spellStart"/>
      <w:r w:rsidRPr="00E205BB">
        <w:rPr>
          <w:szCs w:val="28"/>
        </w:rPr>
        <w:t>Атомэнергопром</w:t>
      </w:r>
      <w:proofErr w:type="spellEnd"/>
      <w:r w:rsidRPr="00E205BB">
        <w:rPr>
          <w:szCs w:val="28"/>
        </w:rPr>
        <w:t>», ОАО «Мечел», ОАО «Северсталь»). В 2014 году количество КГН на уровне 2013 года (ликвидирована КГН, ответственным участником которой являлось ОАО «</w:t>
      </w:r>
      <w:proofErr w:type="spellStart"/>
      <w:r w:rsidRPr="00E205BB">
        <w:rPr>
          <w:szCs w:val="28"/>
        </w:rPr>
        <w:t>РТКомм</w:t>
      </w:r>
      <w:proofErr w:type="gramStart"/>
      <w:r w:rsidRPr="00E205BB">
        <w:rPr>
          <w:szCs w:val="28"/>
        </w:rPr>
        <w:t>.Р</w:t>
      </w:r>
      <w:proofErr w:type="gramEnd"/>
      <w:r w:rsidRPr="00E205BB">
        <w:rPr>
          <w:szCs w:val="28"/>
        </w:rPr>
        <w:t>У</w:t>
      </w:r>
      <w:proofErr w:type="spellEnd"/>
      <w:r w:rsidRPr="00E205BB">
        <w:rPr>
          <w:szCs w:val="28"/>
        </w:rPr>
        <w:t>», создана новая КГН – ответственный участник ЗАО «Торговый дом «Перекресток»).</w:t>
      </w:r>
    </w:p>
    <w:p w:rsidR="000F1BC5" w:rsidRPr="00E205BB" w:rsidRDefault="000F1BC5" w:rsidP="000F1BC5">
      <w:pPr>
        <w:ind w:firstLine="720"/>
        <w:jc w:val="both"/>
        <w:rPr>
          <w:color w:val="1A1A1A"/>
          <w:szCs w:val="28"/>
          <w:shd w:val="clear" w:color="auto" w:fill="FFFFFF"/>
        </w:rPr>
      </w:pPr>
      <w:r w:rsidRPr="00E205BB">
        <w:rPr>
          <w:szCs w:val="28"/>
        </w:rPr>
        <w:t xml:space="preserve">Налог на прибыль по организациям-участникам КГН и обособленным подразделениям распределяется между субъектами Российской Федерации </w:t>
      </w:r>
      <w:r w:rsidRPr="00E205BB">
        <w:rPr>
          <w:color w:val="1A1A1A"/>
          <w:szCs w:val="28"/>
          <w:shd w:val="clear" w:color="auto" w:fill="FFFFFF"/>
        </w:rPr>
        <w:t xml:space="preserve">исходя из размера основных средств и численности персонала указанных организаций. Распределение налога осуществляется вне зависимости от результатов финансово-хозяйственной деятельности конкретных налогоплательщиков. Поэтому результатом перераспределения налога на прибыль может быть как снижение его поступлений в региональный бюджет, так и увеличение. </w:t>
      </w:r>
    </w:p>
    <w:p w:rsidR="000F1BC5" w:rsidRPr="00E205BB" w:rsidRDefault="000F1BC5" w:rsidP="000F1BC5">
      <w:pPr>
        <w:ind w:firstLine="720"/>
        <w:jc w:val="both"/>
        <w:rPr>
          <w:szCs w:val="28"/>
        </w:rPr>
      </w:pPr>
      <w:r w:rsidRPr="00E205BB">
        <w:rPr>
          <w:szCs w:val="28"/>
        </w:rPr>
        <w:t xml:space="preserve">Поступление налога на прибыль за 2012 год на 17,5 %, в 2013 году на 29,7 %, в 2014 году </w:t>
      </w:r>
      <w:proofErr w:type="gramStart"/>
      <w:r w:rsidRPr="00E205BB">
        <w:rPr>
          <w:szCs w:val="28"/>
        </w:rPr>
        <w:t>на</w:t>
      </w:r>
      <w:proofErr w:type="gramEnd"/>
      <w:r w:rsidRPr="00E205BB">
        <w:rPr>
          <w:szCs w:val="28"/>
        </w:rPr>
        <w:t xml:space="preserve"> 38,2 % состоит из поступлений от КГН. </w:t>
      </w:r>
    </w:p>
    <w:p w:rsidR="000F1BC5" w:rsidRPr="00E205BB" w:rsidRDefault="000F1BC5" w:rsidP="000F1BC5">
      <w:pPr>
        <w:autoSpaceDE w:val="0"/>
        <w:autoSpaceDN w:val="0"/>
        <w:adjustRightInd w:val="0"/>
        <w:ind w:firstLine="709"/>
        <w:jc w:val="both"/>
        <w:outlineLvl w:val="0"/>
        <w:rPr>
          <w:szCs w:val="28"/>
        </w:rPr>
      </w:pPr>
      <w:r w:rsidRPr="00E205BB">
        <w:rPr>
          <w:szCs w:val="28"/>
        </w:rPr>
        <w:t>Существенным недостатком действующего режима КГН является сложность прогнозирования бюджетных доходов на уровне отдельного субъекта Российской Федерации, а также возможность непрогнозируемого снижения доходов бюджета субъекта Российской Федерации, в котором расположены прибыльные предприятия, в случае получения крупных убытков налогоплательщиками в других регионах.</w:t>
      </w:r>
    </w:p>
    <w:p w:rsidR="000F1BC5" w:rsidRPr="00E205BB" w:rsidRDefault="000F1BC5" w:rsidP="000F1BC5">
      <w:pPr>
        <w:autoSpaceDE w:val="0"/>
        <w:autoSpaceDN w:val="0"/>
        <w:adjustRightInd w:val="0"/>
        <w:ind w:firstLine="709"/>
        <w:jc w:val="both"/>
        <w:outlineLvl w:val="0"/>
        <w:rPr>
          <w:szCs w:val="28"/>
        </w:rPr>
      </w:pPr>
      <w:r>
        <w:rPr>
          <w:szCs w:val="28"/>
        </w:rPr>
        <w:t xml:space="preserve">С </w:t>
      </w:r>
      <w:r w:rsidRPr="00E205BB">
        <w:rPr>
          <w:szCs w:val="28"/>
        </w:rPr>
        <w:t>другой стороны, более быстрое принятие убытков убыточных участников КГН за счет уменьшения прибыли прибыльных участников при прочих равных условиях позволит в более короткие сроки увеличить доходы от налога на прибыль в тех регионах, где расположены убыточные налогоплательщики.</w:t>
      </w:r>
    </w:p>
    <w:p w:rsidR="000F1BC5" w:rsidRPr="005351F5" w:rsidRDefault="000F1BC5" w:rsidP="000F1BC5">
      <w:pPr>
        <w:autoSpaceDE w:val="0"/>
        <w:autoSpaceDN w:val="0"/>
        <w:adjustRightInd w:val="0"/>
        <w:ind w:firstLine="709"/>
        <w:jc w:val="both"/>
        <w:outlineLvl w:val="0"/>
        <w:rPr>
          <w:szCs w:val="28"/>
        </w:rPr>
      </w:pPr>
      <w:r w:rsidRPr="00E205BB">
        <w:rPr>
          <w:szCs w:val="28"/>
        </w:rPr>
        <w:t>Следует отметить, что с 1 января 2015 года налоговыми органами приостановлена регистрация договоров о создании новых КГН в целях проведения анализа механизма уплаты ими налога на прибыль.</w:t>
      </w:r>
      <w:r>
        <w:rPr>
          <w:szCs w:val="28"/>
        </w:rPr>
        <w:t xml:space="preserve"> </w:t>
      </w:r>
    </w:p>
    <w:p w:rsidR="002F65A1" w:rsidRPr="002F65A1" w:rsidRDefault="002F65A1" w:rsidP="000F1BC5">
      <w:pPr>
        <w:autoSpaceDE w:val="0"/>
        <w:autoSpaceDN w:val="0"/>
        <w:adjustRightInd w:val="0"/>
        <w:ind w:firstLine="709"/>
        <w:jc w:val="both"/>
        <w:outlineLvl w:val="0"/>
        <w:rPr>
          <w:b/>
          <w:szCs w:val="28"/>
        </w:rPr>
      </w:pPr>
    </w:p>
    <w:p w:rsidR="002F65A1" w:rsidRDefault="002F65A1" w:rsidP="000F1BC5">
      <w:pPr>
        <w:autoSpaceDE w:val="0"/>
        <w:autoSpaceDN w:val="0"/>
        <w:adjustRightInd w:val="0"/>
        <w:ind w:firstLine="709"/>
        <w:jc w:val="both"/>
        <w:outlineLvl w:val="0"/>
        <w:rPr>
          <w:b/>
          <w:szCs w:val="28"/>
          <w:lang w:val="en-US"/>
        </w:rPr>
      </w:pPr>
    </w:p>
    <w:p w:rsidR="002F65A1" w:rsidRDefault="002F65A1" w:rsidP="000F1BC5">
      <w:pPr>
        <w:autoSpaceDE w:val="0"/>
        <w:autoSpaceDN w:val="0"/>
        <w:adjustRightInd w:val="0"/>
        <w:ind w:firstLine="709"/>
        <w:jc w:val="both"/>
        <w:outlineLvl w:val="0"/>
        <w:rPr>
          <w:b/>
          <w:szCs w:val="28"/>
          <w:lang w:val="en-US"/>
        </w:rPr>
      </w:pPr>
    </w:p>
    <w:p w:rsidR="000F1BC5" w:rsidRPr="00056B86" w:rsidRDefault="000F1BC5" w:rsidP="000F1BC5">
      <w:pPr>
        <w:autoSpaceDE w:val="0"/>
        <w:autoSpaceDN w:val="0"/>
        <w:adjustRightInd w:val="0"/>
        <w:ind w:firstLine="709"/>
        <w:jc w:val="both"/>
        <w:outlineLvl w:val="0"/>
        <w:rPr>
          <w:b/>
          <w:szCs w:val="28"/>
        </w:rPr>
      </w:pPr>
      <w:r>
        <w:rPr>
          <w:b/>
          <w:szCs w:val="28"/>
        </w:rPr>
        <w:lastRenderedPageBreak/>
        <w:t>1.</w:t>
      </w:r>
      <w:r w:rsidRPr="00056B86">
        <w:rPr>
          <w:b/>
          <w:szCs w:val="28"/>
        </w:rPr>
        <w:t>3. Анализ «налоговых расходов» и налоговых льгот консолидированного бюджета Тверской области</w:t>
      </w:r>
    </w:p>
    <w:p w:rsidR="000F1BC5" w:rsidRPr="00056B86" w:rsidRDefault="000F1BC5" w:rsidP="000F1BC5">
      <w:pPr>
        <w:autoSpaceDE w:val="0"/>
        <w:autoSpaceDN w:val="0"/>
        <w:adjustRightInd w:val="0"/>
        <w:ind w:firstLine="709"/>
        <w:jc w:val="center"/>
        <w:outlineLvl w:val="0"/>
        <w:rPr>
          <w:b/>
          <w:szCs w:val="28"/>
        </w:rPr>
      </w:pPr>
    </w:p>
    <w:p w:rsidR="000F1BC5" w:rsidRPr="00056B86" w:rsidRDefault="000F1BC5" w:rsidP="000F1BC5">
      <w:pPr>
        <w:autoSpaceDE w:val="0"/>
        <w:autoSpaceDN w:val="0"/>
        <w:adjustRightInd w:val="0"/>
        <w:ind w:firstLine="709"/>
        <w:jc w:val="both"/>
        <w:outlineLvl w:val="0"/>
        <w:rPr>
          <w:szCs w:val="28"/>
        </w:rPr>
      </w:pPr>
      <w:r w:rsidRPr="00056B86">
        <w:rPr>
          <w:szCs w:val="28"/>
        </w:rPr>
        <w:t>Налоговыми расходами являются выпадающие доходы консолидированного бюджета Тверской области, обусловленные применением налоговых льгот, пониженных ставок и иных инструментов (преференций), установленных законодательством о налогах и сборах</w:t>
      </w:r>
      <w:r>
        <w:rPr>
          <w:szCs w:val="28"/>
        </w:rPr>
        <w:t>.</w:t>
      </w:r>
      <w:r w:rsidRPr="00056B86">
        <w:rPr>
          <w:szCs w:val="28"/>
        </w:rPr>
        <w:t xml:space="preserve"> Налоговые льготы устанавливаются на федеральном уровне по федеральным, региональным и местным налогам, на уровне субъекта Российской Федерации по региональным налогам, на местном уров</w:t>
      </w:r>
      <w:r>
        <w:rPr>
          <w:szCs w:val="28"/>
        </w:rPr>
        <w:t>не по местным налогам (таблица 3</w:t>
      </w:r>
      <w:r w:rsidRPr="00056B86">
        <w:rPr>
          <w:szCs w:val="28"/>
        </w:rPr>
        <w:t>).</w:t>
      </w:r>
    </w:p>
    <w:p w:rsidR="000F1BC5" w:rsidRPr="00B77DD4" w:rsidRDefault="000F1BC5" w:rsidP="000F1BC5">
      <w:pPr>
        <w:autoSpaceDE w:val="0"/>
        <w:autoSpaceDN w:val="0"/>
        <w:adjustRightInd w:val="0"/>
        <w:ind w:firstLine="709"/>
        <w:jc w:val="right"/>
        <w:outlineLvl w:val="0"/>
        <w:rPr>
          <w:szCs w:val="28"/>
        </w:rPr>
      </w:pPr>
      <w:r>
        <w:rPr>
          <w:szCs w:val="28"/>
        </w:rPr>
        <w:t>Таблица 3</w:t>
      </w:r>
    </w:p>
    <w:p w:rsidR="000F1BC5" w:rsidRPr="00B77DD4" w:rsidRDefault="000F1BC5" w:rsidP="000F1BC5">
      <w:pPr>
        <w:autoSpaceDE w:val="0"/>
        <w:autoSpaceDN w:val="0"/>
        <w:adjustRightInd w:val="0"/>
        <w:ind w:firstLine="709"/>
        <w:jc w:val="center"/>
        <w:outlineLvl w:val="0"/>
        <w:rPr>
          <w:b/>
          <w:szCs w:val="28"/>
        </w:rPr>
      </w:pPr>
      <w:r w:rsidRPr="00B77DD4">
        <w:rPr>
          <w:b/>
          <w:szCs w:val="28"/>
        </w:rPr>
        <w:t>Налоговые расходы консолидированного бюджета Тверской области по видам налоговых доходов</w:t>
      </w:r>
    </w:p>
    <w:p w:rsidR="000F1BC5" w:rsidRPr="00BE7822" w:rsidRDefault="000F1BC5" w:rsidP="000F1BC5">
      <w:pPr>
        <w:autoSpaceDE w:val="0"/>
        <w:autoSpaceDN w:val="0"/>
        <w:adjustRightInd w:val="0"/>
        <w:ind w:firstLine="709"/>
        <w:jc w:val="right"/>
        <w:outlineLvl w:val="0"/>
        <w:rPr>
          <w:sz w:val="24"/>
          <w:szCs w:val="24"/>
        </w:rPr>
      </w:pPr>
      <w:r w:rsidRPr="00BE7822">
        <w:rPr>
          <w:sz w:val="24"/>
          <w:szCs w:val="24"/>
        </w:rPr>
        <w:t>тыс. руб.</w:t>
      </w:r>
    </w:p>
    <w:tbl>
      <w:tblPr>
        <w:tblW w:w="9464" w:type="dxa"/>
        <w:tblLayout w:type="fixed"/>
        <w:tblLook w:val="00A0" w:firstRow="1" w:lastRow="0" w:firstColumn="1" w:lastColumn="0" w:noHBand="0" w:noVBand="0"/>
      </w:tblPr>
      <w:tblGrid>
        <w:gridCol w:w="2240"/>
        <w:gridCol w:w="1134"/>
        <w:gridCol w:w="1134"/>
        <w:gridCol w:w="845"/>
        <w:gridCol w:w="1134"/>
        <w:gridCol w:w="1134"/>
        <w:gridCol w:w="1134"/>
        <w:gridCol w:w="709"/>
      </w:tblGrid>
      <w:tr w:rsidR="000F1BC5" w:rsidRPr="00056B86" w:rsidTr="002F65A1">
        <w:trPr>
          <w:trHeight w:val="810"/>
        </w:trPr>
        <w:tc>
          <w:tcPr>
            <w:tcW w:w="2240" w:type="dxa"/>
            <w:tcBorders>
              <w:top w:val="single" w:sz="4" w:space="0" w:color="auto"/>
              <w:left w:val="single" w:sz="4" w:space="0" w:color="auto"/>
              <w:bottom w:val="single" w:sz="4" w:space="0" w:color="auto"/>
              <w:right w:val="single" w:sz="4" w:space="0" w:color="auto"/>
            </w:tcBorders>
            <w:noWrap/>
            <w:vAlign w:val="center"/>
          </w:tcPr>
          <w:p w:rsidR="000F1BC5" w:rsidRPr="00FD7A83" w:rsidRDefault="000F1BC5" w:rsidP="005743F3">
            <w:pPr>
              <w:jc w:val="center"/>
              <w:rPr>
                <w:color w:val="000000"/>
                <w:sz w:val="20"/>
              </w:rPr>
            </w:pPr>
            <w:r w:rsidRPr="00FD7A83">
              <w:rPr>
                <w:color w:val="000000"/>
                <w:sz w:val="20"/>
              </w:rPr>
              <w:t>Наименование налога</w:t>
            </w:r>
          </w:p>
        </w:tc>
        <w:tc>
          <w:tcPr>
            <w:tcW w:w="1134" w:type="dxa"/>
            <w:tcBorders>
              <w:top w:val="single" w:sz="4" w:space="0" w:color="auto"/>
              <w:left w:val="nil"/>
              <w:bottom w:val="single" w:sz="4" w:space="0" w:color="auto"/>
              <w:right w:val="single" w:sz="4" w:space="0" w:color="auto"/>
            </w:tcBorders>
            <w:vAlign w:val="center"/>
          </w:tcPr>
          <w:p w:rsidR="000F1BC5" w:rsidRPr="009B26AF" w:rsidRDefault="000F1BC5" w:rsidP="005743F3">
            <w:pPr>
              <w:jc w:val="center"/>
              <w:rPr>
                <w:color w:val="000000"/>
                <w:sz w:val="18"/>
                <w:szCs w:val="18"/>
              </w:rPr>
            </w:pPr>
            <w:r w:rsidRPr="009B26AF">
              <w:rPr>
                <w:color w:val="000000"/>
                <w:sz w:val="18"/>
                <w:szCs w:val="18"/>
              </w:rPr>
              <w:t>2011 год факт</w:t>
            </w:r>
          </w:p>
        </w:tc>
        <w:tc>
          <w:tcPr>
            <w:tcW w:w="1134" w:type="dxa"/>
            <w:tcBorders>
              <w:top w:val="single" w:sz="4" w:space="0" w:color="auto"/>
              <w:left w:val="nil"/>
              <w:bottom w:val="single" w:sz="4" w:space="0" w:color="auto"/>
              <w:right w:val="single" w:sz="4" w:space="0" w:color="auto"/>
            </w:tcBorders>
            <w:vAlign w:val="center"/>
          </w:tcPr>
          <w:p w:rsidR="000F1BC5" w:rsidRPr="009B26AF" w:rsidRDefault="000F1BC5" w:rsidP="005743F3">
            <w:pPr>
              <w:jc w:val="center"/>
              <w:rPr>
                <w:color w:val="000000"/>
                <w:sz w:val="18"/>
                <w:szCs w:val="18"/>
              </w:rPr>
            </w:pPr>
            <w:r w:rsidRPr="009B26AF">
              <w:rPr>
                <w:color w:val="000000"/>
                <w:sz w:val="18"/>
                <w:szCs w:val="18"/>
              </w:rPr>
              <w:t>2012 год факт</w:t>
            </w:r>
          </w:p>
        </w:tc>
        <w:tc>
          <w:tcPr>
            <w:tcW w:w="845" w:type="dxa"/>
            <w:tcBorders>
              <w:top w:val="single" w:sz="4" w:space="0" w:color="auto"/>
              <w:left w:val="nil"/>
              <w:bottom w:val="single" w:sz="4" w:space="0" w:color="auto"/>
              <w:right w:val="single" w:sz="4" w:space="0" w:color="auto"/>
            </w:tcBorders>
            <w:noWrap/>
            <w:vAlign w:val="center"/>
          </w:tcPr>
          <w:p w:rsidR="000F1BC5" w:rsidRPr="009B26AF" w:rsidRDefault="000F1BC5" w:rsidP="005743F3">
            <w:pPr>
              <w:jc w:val="center"/>
              <w:rPr>
                <w:color w:val="000000"/>
                <w:sz w:val="18"/>
                <w:szCs w:val="18"/>
              </w:rPr>
            </w:pPr>
            <w:r w:rsidRPr="009B26AF">
              <w:rPr>
                <w:color w:val="000000"/>
                <w:sz w:val="18"/>
                <w:szCs w:val="18"/>
              </w:rPr>
              <w:t>Темп роста (снижения) %</w:t>
            </w:r>
          </w:p>
        </w:tc>
        <w:tc>
          <w:tcPr>
            <w:tcW w:w="1134" w:type="dxa"/>
            <w:tcBorders>
              <w:top w:val="single" w:sz="4" w:space="0" w:color="auto"/>
              <w:left w:val="nil"/>
              <w:bottom w:val="single" w:sz="4" w:space="0" w:color="auto"/>
              <w:right w:val="single" w:sz="4" w:space="0" w:color="auto"/>
            </w:tcBorders>
            <w:vAlign w:val="center"/>
          </w:tcPr>
          <w:p w:rsidR="000F1BC5" w:rsidRPr="009B26AF" w:rsidRDefault="000F1BC5" w:rsidP="005743F3">
            <w:pPr>
              <w:jc w:val="center"/>
              <w:rPr>
                <w:color w:val="000000"/>
                <w:sz w:val="18"/>
                <w:szCs w:val="18"/>
              </w:rPr>
            </w:pPr>
            <w:r w:rsidRPr="009B26AF">
              <w:rPr>
                <w:color w:val="000000"/>
                <w:sz w:val="18"/>
                <w:szCs w:val="18"/>
              </w:rPr>
              <w:t xml:space="preserve">2013 год </w:t>
            </w:r>
          </w:p>
          <w:p w:rsidR="000F1BC5" w:rsidRPr="009B26AF" w:rsidRDefault="000F1BC5" w:rsidP="005743F3">
            <w:pPr>
              <w:jc w:val="center"/>
              <w:rPr>
                <w:color w:val="000000"/>
                <w:sz w:val="18"/>
                <w:szCs w:val="18"/>
              </w:rPr>
            </w:pPr>
            <w:r w:rsidRPr="009B26AF">
              <w:rPr>
                <w:color w:val="000000"/>
                <w:sz w:val="18"/>
                <w:szCs w:val="18"/>
              </w:rPr>
              <w:t>факт</w:t>
            </w:r>
          </w:p>
        </w:tc>
        <w:tc>
          <w:tcPr>
            <w:tcW w:w="1134" w:type="dxa"/>
            <w:tcBorders>
              <w:top w:val="single" w:sz="4" w:space="0" w:color="auto"/>
              <w:left w:val="nil"/>
              <w:bottom w:val="single" w:sz="4" w:space="0" w:color="auto"/>
              <w:right w:val="single" w:sz="4" w:space="0" w:color="auto"/>
            </w:tcBorders>
            <w:noWrap/>
            <w:vAlign w:val="center"/>
          </w:tcPr>
          <w:p w:rsidR="000F1BC5" w:rsidRPr="009B26AF" w:rsidRDefault="000F1BC5" w:rsidP="005743F3">
            <w:pPr>
              <w:jc w:val="center"/>
              <w:rPr>
                <w:color w:val="000000"/>
                <w:sz w:val="18"/>
                <w:szCs w:val="18"/>
              </w:rPr>
            </w:pPr>
            <w:r w:rsidRPr="009B26AF">
              <w:rPr>
                <w:color w:val="000000"/>
                <w:sz w:val="18"/>
                <w:szCs w:val="18"/>
              </w:rPr>
              <w:t>Темп роста (снижения) %</w:t>
            </w:r>
          </w:p>
        </w:tc>
        <w:tc>
          <w:tcPr>
            <w:tcW w:w="1134" w:type="dxa"/>
            <w:tcBorders>
              <w:top w:val="single" w:sz="4" w:space="0" w:color="auto"/>
              <w:left w:val="nil"/>
              <w:bottom w:val="single" w:sz="4" w:space="0" w:color="auto"/>
              <w:right w:val="single" w:sz="4" w:space="0" w:color="auto"/>
            </w:tcBorders>
            <w:vAlign w:val="center"/>
          </w:tcPr>
          <w:p w:rsidR="000F1BC5" w:rsidRPr="009B26AF" w:rsidRDefault="000F1BC5" w:rsidP="005743F3">
            <w:pPr>
              <w:jc w:val="center"/>
              <w:rPr>
                <w:color w:val="000000"/>
                <w:sz w:val="18"/>
                <w:szCs w:val="18"/>
              </w:rPr>
            </w:pPr>
            <w:r w:rsidRPr="009B26AF">
              <w:rPr>
                <w:color w:val="000000"/>
                <w:sz w:val="18"/>
                <w:szCs w:val="18"/>
              </w:rPr>
              <w:t>2014 год факт</w:t>
            </w:r>
          </w:p>
        </w:tc>
        <w:tc>
          <w:tcPr>
            <w:tcW w:w="709" w:type="dxa"/>
            <w:tcBorders>
              <w:top w:val="single" w:sz="4" w:space="0" w:color="auto"/>
              <w:left w:val="nil"/>
              <w:bottom w:val="single" w:sz="4" w:space="0" w:color="auto"/>
              <w:right w:val="single" w:sz="4" w:space="0" w:color="auto"/>
            </w:tcBorders>
            <w:noWrap/>
            <w:vAlign w:val="center"/>
          </w:tcPr>
          <w:p w:rsidR="000F1BC5" w:rsidRPr="009B26AF" w:rsidRDefault="000F1BC5" w:rsidP="005743F3">
            <w:pPr>
              <w:jc w:val="center"/>
              <w:rPr>
                <w:color w:val="000000"/>
                <w:sz w:val="18"/>
                <w:szCs w:val="18"/>
              </w:rPr>
            </w:pPr>
            <w:r w:rsidRPr="009B26AF">
              <w:rPr>
                <w:color w:val="000000"/>
                <w:sz w:val="18"/>
                <w:szCs w:val="18"/>
              </w:rPr>
              <w:t xml:space="preserve">Темп роста (снижения) %  </w:t>
            </w:r>
          </w:p>
        </w:tc>
      </w:tr>
      <w:tr w:rsidR="000F1BC5" w:rsidRPr="00056B86" w:rsidTr="002F65A1">
        <w:trPr>
          <w:trHeight w:val="300"/>
        </w:trPr>
        <w:tc>
          <w:tcPr>
            <w:tcW w:w="2240" w:type="dxa"/>
            <w:tcBorders>
              <w:top w:val="nil"/>
              <w:left w:val="single" w:sz="4" w:space="0" w:color="auto"/>
              <w:bottom w:val="single" w:sz="4" w:space="0" w:color="auto"/>
              <w:right w:val="single" w:sz="4" w:space="0" w:color="auto"/>
            </w:tcBorders>
            <w:noWrap/>
            <w:vAlign w:val="bottom"/>
          </w:tcPr>
          <w:p w:rsidR="000F1BC5" w:rsidRPr="00056B86" w:rsidRDefault="000F1BC5" w:rsidP="005743F3">
            <w:pPr>
              <w:jc w:val="center"/>
              <w:rPr>
                <w:b/>
                <w:bCs/>
                <w:sz w:val="20"/>
              </w:rPr>
            </w:pPr>
            <w:r w:rsidRPr="00056B86">
              <w:rPr>
                <w:b/>
                <w:bCs/>
                <w:sz w:val="20"/>
              </w:rPr>
              <w:t>Всего «налоговых расходов» консолидированного бюджета Тверской области</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b/>
                <w:bCs/>
                <w:sz w:val="20"/>
              </w:rPr>
            </w:pPr>
            <w:r w:rsidRPr="00056B86">
              <w:rPr>
                <w:b/>
                <w:bCs/>
                <w:sz w:val="20"/>
              </w:rPr>
              <w:t>4 323 74</w:t>
            </w:r>
            <w:r w:rsidRPr="00056B86">
              <w:rPr>
                <w:b/>
                <w:bCs/>
                <w:sz w:val="20"/>
                <w:lang w:val="en-US"/>
              </w:rPr>
              <w:t>2</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b/>
                <w:bCs/>
                <w:sz w:val="20"/>
              </w:rPr>
            </w:pPr>
            <w:r w:rsidRPr="00056B86">
              <w:rPr>
                <w:b/>
                <w:bCs/>
                <w:sz w:val="20"/>
              </w:rPr>
              <w:t>5 244 336</w:t>
            </w:r>
          </w:p>
        </w:tc>
        <w:tc>
          <w:tcPr>
            <w:tcW w:w="845" w:type="dxa"/>
            <w:tcBorders>
              <w:top w:val="nil"/>
              <w:left w:val="nil"/>
              <w:bottom w:val="single" w:sz="4" w:space="0" w:color="auto"/>
              <w:right w:val="single" w:sz="4" w:space="0" w:color="auto"/>
            </w:tcBorders>
            <w:noWrap/>
            <w:vAlign w:val="bottom"/>
          </w:tcPr>
          <w:p w:rsidR="000F1BC5" w:rsidRPr="00056B86" w:rsidRDefault="000F1BC5" w:rsidP="005743F3">
            <w:pPr>
              <w:jc w:val="center"/>
              <w:rPr>
                <w:b/>
                <w:bCs/>
                <w:sz w:val="20"/>
              </w:rPr>
            </w:pPr>
            <w:r w:rsidRPr="00056B86">
              <w:rPr>
                <w:b/>
                <w:bCs/>
                <w:sz w:val="20"/>
              </w:rPr>
              <w:t>121,3</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b/>
                <w:bCs/>
                <w:sz w:val="20"/>
              </w:rPr>
            </w:pPr>
            <w:r w:rsidRPr="00056B86">
              <w:rPr>
                <w:b/>
                <w:bCs/>
                <w:sz w:val="20"/>
              </w:rPr>
              <w:t>4 129 499</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b/>
                <w:bCs/>
                <w:sz w:val="20"/>
              </w:rPr>
            </w:pPr>
            <w:r w:rsidRPr="00056B86">
              <w:rPr>
                <w:b/>
                <w:bCs/>
                <w:sz w:val="20"/>
              </w:rPr>
              <w:t>78,7</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b/>
                <w:bCs/>
                <w:sz w:val="20"/>
              </w:rPr>
            </w:pPr>
            <w:r w:rsidRPr="00056B86">
              <w:rPr>
                <w:b/>
                <w:bCs/>
                <w:sz w:val="20"/>
                <w:lang w:val="en-US"/>
              </w:rPr>
              <w:t>4 300 572</w:t>
            </w:r>
          </w:p>
        </w:tc>
        <w:tc>
          <w:tcPr>
            <w:tcW w:w="709" w:type="dxa"/>
            <w:tcBorders>
              <w:top w:val="nil"/>
              <w:left w:val="nil"/>
              <w:bottom w:val="single" w:sz="4" w:space="0" w:color="auto"/>
              <w:right w:val="single" w:sz="4" w:space="0" w:color="auto"/>
            </w:tcBorders>
            <w:noWrap/>
            <w:vAlign w:val="bottom"/>
          </w:tcPr>
          <w:p w:rsidR="000F1BC5" w:rsidRPr="00056B86" w:rsidRDefault="000F1BC5" w:rsidP="005743F3">
            <w:pPr>
              <w:jc w:val="center"/>
              <w:rPr>
                <w:b/>
                <w:bCs/>
                <w:sz w:val="20"/>
              </w:rPr>
            </w:pPr>
            <w:r w:rsidRPr="00056B86">
              <w:rPr>
                <w:b/>
                <w:bCs/>
                <w:sz w:val="20"/>
              </w:rPr>
              <w:t>104,1</w:t>
            </w:r>
          </w:p>
        </w:tc>
      </w:tr>
      <w:tr w:rsidR="000F1BC5" w:rsidRPr="00056B86" w:rsidTr="002F65A1">
        <w:trPr>
          <w:trHeight w:val="525"/>
        </w:trPr>
        <w:tc>
          <w:tcPr>
            <w:tcW w:w="2240" w:type="dxa"/>
            <w:tcBorders>
              <w:top w:val="nil"/>
              <w:left w:val="single" w:sz="4" w:space="0" w:color="auto"/>
              <w:bottom w:val="single" w:sz="4" w:space="0" w:color="auto"/>
              <w:right w:val="single" w:sz="4" w:space="0" w:color="auto"/>
            </w:tcBorders>
            <w:vAlign w:val="bottom"/>
          </w:tcPr>
          <w:p w:rsidR="000F1BC5" w:rsidRPr="00056B86" w:rsidRDefault="000F1BC5" w:rsidP="005743F3">
            <w:pPr>
              <w:jc w:val="center"/>
              <w:rPr>
                <w:i/>
                <w:iCs/>
                <w:sz w:val="20"/>
              </w:rPr>
            </w:pPr>
            <w:proofErr w:type="gramStart"/>
            <w:r w:rsidRPr="00056B86">
              <w:rPr>
                <w:i/>
                <w:iCs/>
                <w:sz w:val="20"/>
              </w:rPr>
              <w:t>установленные</w:t>
            </w:r>
            <w:proofErr w:type="gramEnd"/>
            <w:r w:rsidRPr="00056B86">
              <w:rPr>
                <w:i/>
                <w:iCs/>
                <w:sz w:val="20"/>
              </w:rPr>
              <w:t xml:space="preserve"> федеральным законодательством</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2 934 877</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3 895 460</w:t>
            </w:r>
          </w:p>
        </w:tc>
        <w:tc>
          <w:tcPr>
            <w:tcW w:w="845"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132,7</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2 932 455</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75,3</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lang w:val="en-US"/>
              </w:rPr>
              <w:t>3 037 344</w:t>
            </w:r>
          </w:p>
        </w:tc>
        <w:tc>
          <w:tcPr>
            <w:tcW w:w="709"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103,6</w:t>
            </w:r>
          </w:p>
        </w:tc>
      </w:tr>
      <w:tr w:rsidR="000F1BC5" w:rsidRPr="00056B86" w:rsidTr="002F65A1">
        <w:trPr>
          <w:trHeight w:val="300"/>
        </w:trPr>
        <w:tc>
          <w:tcPr>
            <w:tcW w:w="2240" w:type="dxa"/>
            <w:tcBorders>
              <w:top w:val="nil"/>
              <w:left w:val="single" w:sz="4" w:space="0" w:color="auto"/>
              <w:bottom w:val="single" w:sz="4" w:space="0" w:color="auto"/>
              <w:right w:val="single" w:sz="4" w:space="0" w:color="auto"/>
            </w:tcBorders>
            <w:vAlign w:val="bottom"/>
          </w:tcPr>
          <w:p w:rsidR="000F1BC5" w:rsidRPr="00056B86" w:rsidRDefault="000F1BC5" w:rsidP="005743F3">
            <w:pPr>
              <w:jc w:val="center"/>
              <w:rPr>
                <w:i/>
                <w:iCs/>
                <w:sz w:val="20"/>
              </w:rPr>
            </w:pPr>
            <w:r w:rsidRPr="00056B86">
              <w:rPr>
                <w:i/>
                <w:iCs/>
                <w:sz w:val="20"/>
              </w:rPr>
              <w:t>удельный вес %</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67,9</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74,3</w:t>
            </w:r>
          </w:p>
        </w:tc>
        <w:tc>
          <w:tcPr>
            <w:tcW w:w="845"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109,4</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71,0</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95,6</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70,6</w:t>
            </w:r>
          </w:p>
        </w:tc>
        <w:tc>
          <w:tcPr>
            <w:tcW w:w="709"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99,4</w:t>
            </w:r>
          </w:p>
        </w:tc>
      </w:tr>
      <w:tr w:rsidR="000F1BC5" w:rsidRPr="00056B86" w:rsidTr="002F65A1">
        <w:trPr>
          <w:trHeight w:val="525"/>
        </w:trPr>
        <w:tc>
          <w:tcPr>
            <w:tcW w:w="2240" w:type="dxa"/>
            <w:tcBorders>
              <w:top w:val="nil"/>
              <w:left w:val="single" w:sz="4" w:space="0" w:color="auto"/>
              <w:bottom w:val="single" w:sz="4" w:space="0" w:color="auto"/>
              <w:right w:val="single" w:sz="4" w:space="0" w:color="auto"/>
            </w:tcBorders>
            <w:vAlign w:val="bottom"/>
          </w:tcPr>
          <w:p w:rsidR="000F1BC5" w:rsidRPr="00056B86" w:rsidRDefault="000F1BC5" w:rsidP="005743F3">
            <w:pPr>
              <w:jc w:val="center"/>
              <w:rPr>
                <w:i/>
                <w:iCs/>
                <w:sz w:val="20"/>
              </w:rPr>
            </w:pPr>
            <w:proofErr w:type="gramStart"/>
            <w:r w:rsidRPr="00056B86">
              <w:rPr>
                <w:i/>
                <w:iCs/>
                <w:sz w:val="20"/>
              </w:rPr>
              <w:t>установленные</w:t>
            </w:r>
            <w:proofErr w:type="gramEnd"/>
            <w:r w:rsidRPr="00056B86">
              <w:rPr>
                <w:i/>
                <w:iCs/>
                <w:sz w:val="20"/>
              </w:rPr>
              <w:t xml:space="preserve"> региональным законодательством</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699 602</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676 602</w:t>
            </w:r>
          </w:p>
        </w:tc>
        <w:tc>
          <w:tcPr>
            <w:tcW w:w="845"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96,7</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612 738</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90,6</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672 466</w:t>
            </w:r>
          </w:p>
        </w:tc>
        <w:tc>
          <w:tcPr>
            <w:tcW w:w="709"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109,7</w:t>
            </w:r>
          </w:p>
        </w:tc>
      </w:tr>
      <w:tr w:rsidR="000F1BC5" w:rsidRPr="00056B86" w:rsidTr="002F65A1">
        <w:trPr>
          <w:trHeight w:val="300"/>
        </w:trPr>
        <w:tc>
          <w:tcPr>
            <w:tcW w:w="2240" w:type="dxa"/>
            <w:tcBorders>
              <w:top w:val="nil"/>
              <w:left w:val="single" w:sz="4" w:space="0" w:color="auto"/>
              <w:bottom w:val="single" w:sz="4" w:space="0" w:color="auto"/>
              <w:right w:val="single" w:sz="4" w:space="0" w:color="auto"/>
            </w:tcBorders>
            <w:vAlign w:val="bottom"/>
          </w:tcPr>
          <w:p w:rsidR="000F1BC5" w:rsidRPr="00056B86" w:rsidRDefault="000F1BC5" w:rsidP="005743F3">
            <w:pPr>
              <w:jc w:val="center"/>
              <w:rPr>
                <w:i/>
                <w:iCs/>
                <w:sz w:val="20"/>
              </w:rPr>
            </w:pPr>
            <w:r w:rsidRPr="00056B86">
              <w:rPr>
                <w:i/>
                <w:iCs/>
                <w:sz w:val="20"/>
              </w:rPr>
              <w:t>удельный вес %</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16,2</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12,9</w:t>
            </w:r>
          </w:p>
        </w:tc>
        <w:tc>
          <w:tcPr>
            <w:tcW w:w="845"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79,6</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14,8</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114,7</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15,6</w:t>
            </w:r>
          </w:p>
        </w:tc>
        <w:tc>
          <w:tcPr>
            <w:tcW w:w="709"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105,4</w:t>
            </w:r>
          </w:p>
        </w:tc>
      </w:tr>
      <w:tr w:rsidR="000F1BC5" w:rsidRPr="00056B86" w:rsidTr="002F65A1">
        <w:trPr>
          <w:trHeight w:val="525"/>
        </w:trPr>
        <w:tc>
          <w:tcPr>
            <w:tcW w:w="2240" w:type="dxa"/>
            <w:tcBorders>
              <w:top w:val="nil"/>
              <w:left w:val="single" w:sz="4" w:space="0" w:color="auto"/>
              <w:bottom w:val="single" w:sz="4" w:space="0" w:color="auto"/>
              <w:right w:val="single" w:sz="4" w:space="0" w:color="auto"/>
            </w:tcBorders>
            <w:vAlign w:val="bottom"/>
          </w:tcPr>
          <w:p w:rsidR="000F1BC5" w:rsidRPr="00056B86" w:rsidRDefault="000F1BC5" w:rsidP="005743F3">
            <w:pPr>
              <w:jc w:val="center"/>
              <w:rPr>
                <w:i/>
                <w:iCs/>
                <w:sz w:val="20"/>
              </w:rPr>
            </w:pPr>
            <w:r w:rsidRPr="00056B86">
              <w:rPr>
                <w:i/>
                <w:iCs/>
                <w:sz w:val="20"/>
              </w:rPr>
              <w:t>установленные органами местного самоуправления</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689 263</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672 274</w:t>
            </w:r>
          </w:p>
        </w:tc>
        <w:tc>
          <w:tcPr>
            <w:tcW w:w="845"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97,5</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584 306</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86,9</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590 762</w:t>
            </w:r>
          </w:p>
        </w:tc>
        <w:tc>
          <w:tcPr>
            <w:tcW w:w="709"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101,1</w:t>
            </w:r>
          </w:p>
        </w:tc>
      </w:tr>
      <w:tr w:rsidR="000F1BC5" w:rsidRPr="00056B86" w:rsidTr="002F65A1">
        <w:trPr>
          <w:trHeight w:val="300"/>
        </w:trPr>
        <w:tc>
          <w:tcPr>
            <w:tcW w:w="2240" w:type="dxa"/>
            <w:tcBorders>
              <w:top w:val="nil"/>
              <w:left w:val="single" w:sz="4" w:space="0" w:color="auto"/>
              <w:bottom w:val="single" w:sz="4" w:space="0" w:color="auto"/>
              <w:right w:val="single" w:sz="4" w:space="0" w:color="auto"/>
            </w:tcBorders>
            <w:vAlign w:val="bottom"/>
          </w:tcPr>
          <w:p w:rsidR="000F1BC5" w:rsidRPr="00056B86" w:rsidRDefault="000F1BC5" w:rsidP="005743F3">
            <w:pPr>
              <w:jc w:val="center"/>
              <w:rPr>
                <w:i/>
                <w:iCs/>
                <w:sz w:val="20"/>
              </w:rPr>
            </w:pPr>
            <w:r w:rsidRPr="00056B86">
              <w:rPr>
                <w:i/>
                <w:iCs/>
                <w:sz w:val="20"/>
              </w:rPr>
              <w:t>удельный вес %</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15,9</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12,8</w:t>
            </w:r>
          </w:p>
        </w:tc>
        <w:tc>
          <w:tcPr>
            <w:tcW w:w="845"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80,5</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14,2</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110,9</w:t>
            </w:r>
          </w:p>
        </w:tc>
        <w:tc>
          <w:tcPr>
            <w:tcW w:w="1134"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13,8</w:t>
            </w:r>
          </w:p>
        </w:tc>
        <w:tc>
          <w:tcPr>
            <w:tcW w:w="709" w:type="dxa"/>
            <w:tcBorders>
              <w:top w:val="nil"/>
              <w:left w:val="nil"/>
              <w:bottom w:val="single" w:sz="4" w:space="0" w:color="auto"/>
              <w:right w:val="single" w:sz="4" w:space="0" w:color="auto"/>
            </w:tcBorders>
            <w:noWrap/>
            <w:vAlign w:val="bottom"/>
          </w:tcPr>
          <w:p w:rsidR="000F1BC5" w:rsidRPr="00056B86" w:rsidRDefault="000F1BC5" w:rsidP="005743F3">
            <w:pPr>
              <w:jc w:val="center"/>
              <w:rPr>
                <w:i/>
                <w:iCs/>
                <w:sz w:val="20"/>
              </w:rPr>
            </w:pPr>
            <w:r w:rsidRPr="00056B86">
              <w:rPr>
                <w:i/>
                <w:iCs/>
                <w:sz w:val="20"/>
              </w:rPr>
              <w:t>97,2</w:t>
            </w:r>
          </w:p>
        </w:tc>
      </w:tr>
    </w:tbl>
    <w:p w:rsidR="000F1BC5" w:rsidRDefault="000F1BC5" w:rsidP="000F1BC5">
      <w:pPr>
        <w:autoSpaceDE w:val="0"/>
        <w:autoSpaceDN w:val="0"/>
        <w:adjustRightInd w:val="0"/>
        <w:jc w:val="both"/>
        <w:outlineLvl w:val="0"/>
        <w:rPr>
          <w:sz w:val="24"/>
          <w:szCs w:val="24"/>
        </w:rPr>
      </w:pPr>
    </w:p>
    <w:p w:rsidR="000F1BC5" w:rsidRPr="00056B86" w:rsidRDefault="000F1BC5" w:rsidP="000F1BC5">
      <w:pPr>
        <w:tabs>
          <w:tab w:val="left" w:pos="851"/>
        </w:tabs>
        <w:autoSpaceDE w:val="0"/>
        <w:autoSpaceDN w:val="0"/>
        <w:adjustRightInd w:val="0"/>
        <w:ind w:firstLine="709"/>
        <w:jc w:val="both"/>
        <w:outlineLvl w:val="0"/>
        <w:rPr>
          <w:szCs w:val="28"/>
        </w:rPr>
      </w:pPr>
      <w:r>
        <w:rPr>
          <w:szCs w:val="28"/>
        </w:rPr>
        <w:t>Как видно из таблицы 3</w:t>
      </w:r>
      <w:r w:rsidRPr="00056B86">
        <w:rPr>
          <w:szCs w:val="28"/>
        </w:rPr>
        <w:t xml:space="preserve"> наибольший удельный вес из общей суммы льгот приходится на льготы, установленные федеральным законодательством</w:t>
      </w:r>
      <w:r>
        <w:rPr>
          <w:szCs w:val="28"/>
        </w:rPr>
        <w:t xml:space="preserve"> -</w:t>
      </w:r>
      <w:r w:rsidRPr="00056B86">
        <w:rPr>
          <w:szCs w:val="28"/>
        </w:rPr>
        <w:t xml:space="preserve"> около 70% и 30% </w:t>
      </w:r>
      <w:r>
        <w:rPr>
          <w:szCs w:val="28"/>
        </w:rPr>
        <w:t xml:space="preserve">- </w:t>
      </w:r>
      <w:r w:rsidRPr="00056B86">
        <w:rPr>
          <w:szCs w:val="28"/>
        </w:rPr>
        <w:t xml:space="preserve">на льготы, установленные региональным законодательством и нормативными правовыми актами органов местного самоуправления. </w:t>
      </w:r>
    </w:p>
    <w:p w:rsidR="000F1BC5" w:rsidRDefault="000F1BC5" w:rsidP="000F1BC5">
      <w:pPr>
        <w:autoSpaceDE w:val="0"/>
        <w:autoSpaceDN w:val="0"/>
        <w:adjustRightInd w:val="0"/>
        <w:ind w:firstLine="709"/>
        <w:jc w:val="both"/>
        <w:rPr>
          <w:szCs w:val="28"/>
        </w:rPr>
      </w:pPr>
      <w:proofErr w:type="gramStart"/>
      <w:r w:rsidRPr="00056B86">
        <w:rPr>
          <w:szCs w:val="28"/>
        </w:rPr>
        <w:t>Наиболее крупными «налоговыми расходами»</w:t>
      </w:r>
      <w:r>
        <w:rPr>
          <w:szCs w:val="28"/>
        </w:rPr>
        <w:t xml:space="preserve"> консолидированного</w:t>
      </w:r>
      <w:r w:rsidRPr="00056B86">
        <w:rPr>
          <w:szCs w:val="28"/>
        </w:rPr>
        <w:t xml:space="preserve"> бюджета</w:t>
      </w:r>
      <w:r>
        <w:rPr>
          <w:szCs w:val="28"/>
        </w:rPr>
        <w:t xml:space="preserve"> Тверской области </w:t>
      </w:r>
      <w:r w:rsidRPr="00056B86">
        <w:rPr>
          <w:szCs w:val="28"/>
        </w:rPr>
        <w:t xml:space="preserve"> являются льготы, уста</w:t>
      </w:r>
      <w:r>
        <w:rPr>
          <w:szCs w:val="28"/>
        </w:rPr>
        <w:t>новленные на федеральном уровне: п</w:t>
      </w:r>
      <w:r w:rsidRPr="00056B86">
        <w:rPr>
          <w:szCs w:val="28"/>
        </w:rPr>
        <w:t>о налогу на имущество организаций, а именно льгота по инфраструктурным объектам (железнодорожным путям общего пользования, магистральным трубопроводам, линиям электропередачи, а также сооружениям, являющихся неотъемлем</w:t>
      </w:r>
      <w:r>
        <w:rPr>
          <w:szCs w:val="28"/>
        </w:rPr>
        <w:t xml:space="preserve">ой частью указанных объектов), </w:t>
      </w:r>
      <w:r w:rsidRPr="00056B86">
        <w:rPr>
          <w:szCs w:val="28"/>
        </w:rPr>
        <w:t>до 2013 года в виде полного освобождения от уплаты налога</w:t>
      </w:r>
      <w:r>
        <w:rPr>
          <w:szCs w:val="28"/>
        </w:rPr>
        <w:t>,</w:t>
      </w:r>
      <w:r w:rsidRPr="00056B86">
        <w:rPr>
          <w:szCs w:val="28"/>
        </w:rPr>
        <w:t xml:space="preserve"> с 2013 года в в</w:t>
      </w:r>
      <w:r>
        <w:rPr>
          <w:szCs w:val="28"/>
        </w:rPr>
        <w:t>иде льготных ставок;</w:t>
      </w:r>
      <w:proofErr w:type="gramEnd"/>
      <w:r>
        <w:rPr>
          <w:szCs w:val="28"/>
        </w:rPr>
        <w:t xml:space="preserve"> п</w:t>
      </w:r>
      <w:r w:rsidRPr="00056B86">
        <w:rPr>
          <w:szCs w:val="28"/>
        </w:rPr>
        <w:t xml:space="preserve">о налогу на прибыль организаций в отношении  </w:t>
      </w:r>
      <w:r w:rsidRPr="00056B86">
        <w:rPr>
          <w:szCs w:val="28"/>
        </w:rPr>
        <w:lastRenderedPageBreak/>
        <w:t>сельскохозяйственных т</w:t>
      </w:r>
      <w:r>
        <w:rPr>
          <w:szCs w:val="28"/>
        </w:rPr>
        <w:t xml:space="preserve">оваропроизводителей, </w:t>
      </w:r>
      <w:r w:rsidRPr="00056B86">
        <w:rPr>
          <w:szCs w:val="28"/>
        </w:rPr>
        <w:t xml:space="preserve">для которых налоговая база облагается по ставке 0 процентов. </w:t>
      </w:r>
    </w:p>
    <w:p w:rsidR="000F1BC5" w:rsidRPr="00056B86" w:rsidRDefault="000F1BC5" w:rsidP="000F1BC5">
      <w:pPr>
        <w:tabs>
          <w:tab w:val="left" w:pos="709"/>
        </w:tabs>
        <w:autoSpaceDE w:val="0"/>
        <w:autoSpaceDN w:val="0"/>
        <w:adjustRightInd w:val="0"/>
        <w:ind w:firstLine="709"/>
        <w:jc w:val="both"/>
        <w:rPr>
          <w:szCs w:val="28"/>
        </w:rPr>
      </w:pPr>
      <w:proofErr w:type="gramStart"/>
      <w:r>
        <w:rPr>
          <w:szCs w:val="28"/>
        </w:rPr>
        <w:t>В Тверской области р</w:t>
      </w:r>
      <w:r w:rsidRPr="00056B86">
        <w:rPr>
          <w:szCs w:val="28"/>
        </w:rPr>
        <w:t>еализуются положения о  поэтапной  отмене льгот по налогу на имущество организаций по инфраструктурным объектам (железнодорожным путям общего пользования, магистральным трубопроводам, линиям электропередачи, а также сооружениям, являющимся неотъемлемой частью   указанных объектов),  для которых Законом Тверской области от 03.10.2013 № 81-ЗО «О внесении изменений в статью 2 зак</w:t>
      </w:r>
      <w:r>
        <w:rPr>
          <w:szCs w:val="28"/>
        </w:rPr>
        <w:t xml:space="preserve">она Тверской области  </w:t>
      </w:r>
      <w:r w:rsidRPr="00056B86">
        <w:rPr>
          <w:szCs w:val="28"/>
        </w:rPr>
        <w:t xml:space="preserve"> «О на</w:t>
      </w:r>
      <w:r>
        <w:rPr>
          <w:szCs w:val="28"/>
        </w:rPr>
        <w:t xml:space="preserve">логе на имущество организаций» </w:t>
      </w:r>
      <w:r w:rsidRPr="00056B86">
        <w:rPr>
          <w:szCs w:val="28"/>
        </w:rPr>
        <w:t>с 1 января 2014 года</w:t>
      </w:r>
      <w:proofErr w:type="gramEnd"/>
      <w:r w:rsidRPr="00056B86">
        <w:rPr>
          <w:szCs w:val="28"/>
        </w:rPr>
        <w:t xml:space="preserve"> установлена ст</w:t>
      </w:r>
      <w:r>
        <w:rPr>
          <w:szCs w:val="28"/>
        </w:rPr>
        <w:t xml:space="preserve">авка в размере 0,7 процентов, в 2015 году - </w:t>
      </w:r>
      <w:r w:rsidRPr="00056B86">
        <w:rPr>
          <w:szCs w:val="28"/>
        </w:rPr>
        <w:t xml:space="preserve">ставка в размере 1 процента, в 2016 году  - ставка в размере 1,3 процента, в 2017 году - 1,6 процента, в 2018 году - 1,9 </w:t>
      </w:r>
      <w:r>
        <w:rPr>
          <w:szCs w:val="28"/>
        </w:rPr>
        <w:t xml:space="preserve">процента. </w:t>
      </w:r>
      <w:r w:rsidRPr="00056B86">
        <w:rPr>
          <w:szCs w:val="28"/>
        </w:rPr>
        <w:t xml:space="preserve">Это обеспечило в 2014 году дополнительные поступления в областной бюджет Тверской области в сумме </w:t>
      </w:r>
      <w:r>
        <w:rPr>
          <w:szCs w:val="28"/>
        </w:rPr>
        <w:t>более 600 млн</w:t>
      </w:r>
      <w:r w:rsidRPr="00056B86">
        <w:rPr>
          <w:szCs w:val="28"/>
        </w:rPr>
        <w:t xml:space="preserve">. руб. </w:t>
      </w:r>
    </w:p>
    <w:p w:rsidR="000F1BC5" w:rsidRPr="00056B86" w:rsidRDefault="000F1BC5" w:rsidP="000F1BC5">
      <w:pPr>
        <w:autoSpaceDE w:val="0"/>
        <w:autoSpaceDN w:val="0"/>
        <w:adjustRightInd w:val="0"/>
        <w:ind w:firstLine="709"/>
        <w:jc w:val="both"/>
        <w:outlineLvl w:val="0"/>
        <w:rPr>
          <w:szCs w:val="28"/>
        </w:rPr>
      </w:pPr>
      <w:proofErr w:type="gramStart"/>
      <w:r w:rsidRPr="00056B86">
        <w:rPr>
          <w:szCs w:val="28"/>
        </w:rPr>
        <w:t>Сумма налоговых льгот, установленных региональным законодательством по транспортному налогу и налогу на имущество организаций за 2014 год составила 672 466 тыс. руб. При этом сумма льгот, которые имеют исключительно бюджетный эффект, выражающейся в оптимизации расходов областного бюджета Тверской области, и предусматривают сокращение встречных финансовых потоков при одновременном снижении налоговой нагрузки на организации, получающие средства областного бюджета Тверской об</w:t>
      </w:r>
      <w:r>
        <w:rPr>
          <w:szCs w:val="28"/>
        </w:rPr>
        <w:t>ласти и (или</w:t>
      </w:r>
      <w:proofErr w:type="gramEnd"/>
      <w:r>
        <w:rPr>
          <w:szCs w:val="28"/>
        </w:rPr>
        <w:t>) местного бюджета,  составила около 300 млн</w:t>
      </w:r>
      <w:r w:rsidRPr="00056B86">
        <w:rPr>
          <w:szCs w:val="28"/>
        </w:rPr>
        <w:t>. руб. или 47,2</w:t>
      </w:r>
      <w:r>
        <w:rPr>
          <w:szCs w:val="28"/>
        </w:rPr>
        <w:t xml:space="preserve"> </w:t>
      </w:r>
      <w:r w:rsidRPr="00056B86">
        <w:rPr>
          <w:szCs w:val="28"/>
        </w:rPr>
        <w:t xml:space="preserve">% от общей суммы льгот, предоставленных региональным законодательством. </w:t>
      </w:r>
    </w:p>
    <w:p w:rsidR="000F1BC5" w:rsidRDefault="000F1BC5" w:rsidP="000F1BC5">
      <w:pPr>
        <w:tabs>
          <w:tab w:val="left" w:pos="709"/>
        </w:tabs>
        <w:autoSpaceDE w:val="0"/>
        <w:autoSpaceDN w:val="0"/>
        <w:adjustRightInd w:val="0"/>
        <w:ind w:firstLine="709"/>
        <w:jc w:val="both"/>
        <w:outlineLvl w:val="0"/>
        <w:rPr>
          <w:szCs w:val="28"/>
        </w:rPr>
      </w:pPr>
      <w:proofErr w:type="gramStart"/>
      <w:r w:rsidRPr="00056B86">
        <w:rPr>
          <w:szCs w:val="28"/>
        </w:rPr>
        <w:t>Основная категория льгот, которые формируют реальные выпадающие доходы</w:t>
      </w:r>
      <w:r>
        <w:rPr>
          <w:szCs w:val="28"/>
        </w:rPr>
        <w:t xml:space="preserve">, </w:t>
      </w:r>
      <w:r w:rsidRPr="00056B86">
        <w:rPr>
          <w:szCs w:val="28"/>
        </w:rPr>
        <w:t xml:space="preserve">это льгота по налогу на имущество организаций, предоставленная организациям по производству, переработке и хранению сельскохозяйственной продукции, выращиванию, лову и переработки рыбы и морепродуктов при условии, что выручка от указанных видов деятельности составляет не менее 70 процентов от общей суммы выручки от реализации продукции (работ, услуг) в сумме </w:t>
      </w:r>
      <w:r>
        <w:rPr>
          <w:szCs w:val="28"/>
        </w:rPr>
        <w:t>около 300 млн</w:t>
      </w:r>
      <w:r w:rsidRPr="00056B86">
        <w:rPr>
          <w:szCs w:val="28"/>
        </w:rPr>
        <w:t>. руб.</w:t>
      </w:r>
      <w:proofErr w:type="gramEnd"/>
    </w:p>
    <w:p w:rsidR="000F1BC5" w:rsidRPr="00056B86" w:rsidRDefault="000F1BC5" w:rsidP="000F1BC5">
      <w:pPr>
        <w:autoSpaceDE w:val="0"/>
        <w:autoSpaceDN w:val="0"/>
        <w:adjustRightInd w:val="0"/>
        <w:ind w:firstLine="709"/>
        <w:jc w:val="both"/>
        <w:rPr>
          <w:szCs w:val="28"/>
        </w:rPr>
      </w:pPr>
      <w:proofErr w:type="gramStart"/>
      <w:r w:rsidRPr="00056B86">
        <w:rPr>
          <w:szCs w:val="28"/>
        </w:rPr>
        <w:t>Сумма налоговых льгот, установленных органами местного самоуправления за 2014 год составила 590 762 тыс. руб., в том числе по земельному налогу – 590 533 тыс. руб. из них 569 812 тыс. руб. или 96,5</w:t>
      </w:r>
      <w:r>
        <w:rPr>
          <w:szCs w:val="28"/>
        </w:rPr>
        <w:t xml:space="preserve"> </w:t>
      </w:r>
      <w:r w:rsidRPr="00056B86">
        <w:rPr>
          <w:szCs w:val="28"/>
        </w:rPr>
        <w:t xml:space="preserve">% составляют льготы в виде освобождения от налогообложения юридических лиц, которые в основном направлены на сокращение встречных финансовых потоков. </w:t>
      </w:r>
      <w:proofErr w:type="gramEnd"/>
    </w:p>
    <w:p w:rsidR="000F1BC5" w:rsidRDefault="000F1BC5" w:rsidP="000F1BC5">
      <w:pPr>
        <w:autoSpaceDE w:val="0"/>
        <w:autoSpaceDN w:val="0"/>
        <w:adjustRightInd w:val="0"/>
        <w:outlineLvl w:val="0"/>
        <w:rPr>
          <w:b/>
          <w:szCs w:val="28"/>
        </w:rPr>
      </w:pPr>
    </w:p>
    <w:p w:rsidR="000F1BC5" w:rsidRDefault="000F1BC5" w:rsidP="000F1BC5">
      <w:pPr>
        <w:jc w:val="both"/>
        <w:rPr>
          <w:szCs w:val="28"/>
          <w:lang w:val="en-US"/>
        </w:rPr>
      </w:pPr>
    </w:p>
    <w:p w:rsidR="002F65A1" w:rsidRDefault="002F65A1" w:rsidP="000F1BC5">
      <w:pPr>
        <w:jc w:val="both"/>
        <w:rPr>
          <w:szCs w:val="28"/>
          <w:lang w:val="en-US"/>
        </w:rPr>
      </w:pPr>
    </w:p>
    <w:p w:rsidR="002F65A1" w:rsidRDefault="002F65A1" w:rsidP="000F1BC5">
      <w:pPr>
        <w:jc w:val="both"/>
        <w:rPr>
          <w:szCs w:val="28"/>
          <w:lang w:val="en-US"/>
        </w:rPr>
      </w:pPr>
    </w:p>
    <w:p w:rsidR="002F65A1" w:rsidRDefault="002F65A1" w:rsidP="000F1BC5">
      <w:pPr>
        <w:jc w:val="both"/>
        <w:rPr>
          <w:szCs w:val="28"/>
          <w:lang w:val="en-US"/>
        </w:rPr>
      </w:pPr>
    </w:p>
    <w:p w:rsidR="002F65A1" w:rsidRPr="002F65A1" w:rsidRDefault="002F65A1" w:rsidP="000F1BC5">
      <w:pPr>
        <w:jc w:val="both"/>
        <w:rPr>
          <w:szCs w:val="28"/>
          <w:lang w:val="en-US"/>
        </w:rPr>
      </w:pPr>
    </w:p>
    <w:p w:rsidR="000F1BC5" w:rsidRPr="00056B86" w:rsidRDefault="000F1BC5" w:rsidP="002F65A1">
      <w:pPr>
        <w:autoSpaceDE w:val="0"/>
        <w:autoSpaceDN w:val="0"/>
        <w:adjustRightInd w:val="0"/>
        <w:jc w:val="center"/>
        <w:rPr>
          <w:b/>
          <w:szCs w:val="28"/>
        </w:rPr>
      </w:pPr>
      <w:r>
        <w:rPr>
          <w:b/>
          <w:szCs w:val="28"/>
        </w:rPr>
        <w:lastRenderedPageBreak/>
        <w:t xml:space="preserve">Раздел </w:t>
      </w:r>
      <w:r>
        <w:rPr>
          <w:b/>
          <w:szCs w:val="28"/>
          <w:lang w:val="en-US"/>
        </w:rPr>
        <w:t>II</w:t>
      </w:r>
      <w:r>
        <w:rPr>
          <w:b/>
          <w:szCs w:val="28"/>
        </w:rPr>
        <w:t>. Меры в области</w:t>
      </w:r>
      <w:r w:rsidRPr="00056B86">
        <w:rPr>
          <w:b/>
          <w:szCs w:val="28"/>
        </w:rPr>
        <w:t xml:space="preserve"> налоговой п</w:t>
      </w:r>
      <w:r w:rsidRPr="00056B86">
        <w:rPr>
          <w:rFonts w:cs="Courier New"/>
          <w:b/>
          <w:szCs w:val="28"/>
        </w:rPr>
        <w:t>олитики Тверской области, планируемые к реализации  в 2016 году и плановом периоде 2017 и 2018</w:t>
      </w:r>
      <w:r w:rsidRPr="00056B86">
        <w:rPr>
          <w:b/>
          <w:szCs w:val="28"/>
        </w:rPr>
        <w:t xml:space="preserve"> годов.</w:t>
      </w:r>
    </w:p>
    <w:p w:rsidR="000F1BC5" w:rsidRPr="00056B86" w:rsidRDefault="000F1BC5" w:rsidP="000F1BC5">
      <w:pPr>
        <w:autoSpaceDE w:val="0"/>
        <w:autoSpaceDN w:val="0"/>
        <w:adjustRightInd w:val="0"/>
        <w:rPr>
          <w:b/>
          <w:szCs w:val="28"/>
        </w:rPr>
      </w:pPr>
    </w:p>
    <w:p w:rsidR="000F1BC5" w:rsidRPr="00056B86" w:rsidRDefault="000F1BC5" w:rsidP="000F1BC5">
      <w:pPr>
        <w:autoSpaceDE w:val="0"/>
        <w:autoSpaceDN w:val="0"/>
        <w:adjustRightInd w:val="0"/>
        <w:ind w:firstLine="709"/>
        <w:jc w:val="center"/>
        <w:rPr>
          <w:b/>
          <w:szCs w:val="28"/>
        </w:rPr>
      </w:pPr>
      <w:r>
        <w:rPr>
          <w:b/>
          <w:szCs w:val="28"/>
        </w:rPr>
        <w:t>2</w:t>
      </w:r>
      <w:r w:rsidRPr="00056B86">
        <w:rPr>
          <w:b/>
          <w:szCs w:val="28"/>
        </w:rPr>
        <w:t>.1</w:t>
      </w:r>
      <w:r>
        <w:rPr>
          <w:b/>
          <w:szCs w:val="28"/>
        </w:rPr>
        <w:t xml:space="preserve"> Налог на имущество организаций</w:t>
      </w:r>
    </w:p>
    <w:p w:rsidR="000F1BC5" w:rsidRPr="00056B86" w:rsidRDefault="000F1BC5" w:rsidP="000F1BC5">
      <w:pPr>
        <w:autoSpaceDE w:val="0"/>
        <w:autoSpaceDN w:val="0"/>
        <w:adjustRightInd w:val="0"/>
        <w:ind w:firstLine="540"/>
        <w:jc w:val="both"/>
        <w:rPr>
          <w:b/>
          <w:szCs w:val="28"/>
        </w:rPr>
      </w:pPr>
    </w:p>
    <w:p w:rsidR="000F1BC5" w:rsidRPr="00056B86" w:rsidRDefault="000F1BC5" w:rsidP="000F1BC5">
      <w:pPr>
        <w:autoSpaceDE w:val="0"/>
        <w:autoSpaceDN w:val="0"/>
        <w:adjustRightInd w:val="0"/>
        <w:ind w:firstLine="709"/>
        <w:jc w:val="both"/>
        <w:rPr>
          <w:szCs w:val="28"/>
        </w:rPr>
      </w:pPr>
      <w:r w:rsidRPr="00056B86">
        <w:rPr>
          <w:szCs w:val="28"/>
        </w:rPr>
        <w:t>В соответствии с Налоговым кодексом на территории Тверской области налог на имущество организаций установлен законом Тверской области от 27.11.2003 № 85-ЗО «О налоге на имущество организаций» (далее – закон Тверской области 85-ЗО).</w:t>
      </w:r>
    </w:p>
    <w:p w:rsidR="000F1BC5" w:rsidRPr="00056B86" w:rsidRDefault="000F1BC5" w:rsidP="000F1BC5">
      <w:pPr>
        <w:widowControl w:val="0"/>
        <w:autoSpaceDE w:val="0"/>
        <w:autoSpaceDN w:val="0"/>
        <w:adjustRightInd w:val="0"/>
        <w:ind w:firstLine="709"/>
        <w:jc w:val="both"/>
        <w:rPr>
          <w:szCs w:val="28"/>
        </w:rPr>
      </w:pPr>
      <w:proofErr w:type="gramStart"/>
      <w:r>
        <w:rPr>
          <w:szCs w:val="28"/>
        </w:rPr>
        <w:t xml:space="preserve">Федеральным законом от </w:t>
      </w:r>
      <w:r w:rsidRPr="00056B86">
        <w:rPr>
          <w:szCs w:val="28"/>
        </w:rPr>
        <w:t xml:space="preserve">02.11.2013 № 307-ФЗ «О внесении изменений в статью 12 части первой и главу 30 части второй Налогового кодекса Российской Федерации» внесены изменения в Налоговый кодекс, предоставляющие законодательным органам государственной власти субъектов Российской Федерации право устанавливать особенности определения налоговой базы отдельных объектов недвижимого имущества по налогу на имущество организаций, предусматривающие расчет налоговой базы исходя из кадастровой стоимости. </w:t>
      </w:r>
      <w:proofErr w:type="gramEnd"/>
    </w:p>
    <w:p w:rsidR="000F1BC5" w:rsidRPr="00056B86" w:rsidRDefault="000F1BC5" w:rsidP="000F1BC5">
      <w:pPr>
        <w:widowControl w:val="0"/>
        <w:autoSpaceDE w:val="0"/>
        <w:autoSpaceDN w:val="0"/>
        <w:adjustRightInd w:val="0"/>
        <w:ind w:firstLine="709"/>
        <w:jc w:val="both"/>
        <w:rPr>
          <w:szCs w:val="28"/>
        </w:rPr>
      </w:pPr>
      <w:r w:rsidRPr="00056B86">
        <w:rPr>
          <w:szCs w:val="28"/>
        </w:rPr>
        <w:t xml:space="preserve">В соответствии с пунктом 7 статьи 378.2 Налогового кодекса уполномоченный орган исполнительной власти субъекта Российской Федерации определяет на налоговый период перечень объектов недвижимого </w:t>
      </w:r>
      <w:proofErr w:type="gramStart"/>
      <w:r w:rsidRPr="00056B86">
        <w:rPr>
          <w:szCs w:val="28"/>
        </w:rPr>
        <w:t>имущества</w:t>
      </w:r>
      <w:proofErr w:type="gramEnd"/>
      <w:r w:rsidRPr="00056B86">
        <w:rPr>
          <w:szCs w:val="28"/>
        </w:rPr>
        <w:t xml:space="preserve"> в отношении которых налоговая база будет определяться исходя из их кадастровой стоимости. </w:t>
      </w:r>
    </w:p>
    <w:p w:rsidR="000F1BC5" w:rsidRPr="00056B86" w:rsidRDefault="000F1BC5" w:rsidP="000F1BC5">
      <w:pPr>
        <w:autoSpaceDE w:val="0"/>
        <w:autoSpaceDN w:val="0"/>
        <w:adjustRightInd w:val="0"/>
        <w:ind w:firstLine="709"/>
        <w:jc w:val="both"/>
        <w:rPr>
          <w:szCs w:val="28"/>
        </w:rPr>
      </w:pPr>
      <w:r>
        <w:rPr>
          <w:szCs w:val="28"/>
        </w:rPr>
        <w:t>Учитывая</w:t>
      </w:r>
      <w:r w:rsidRPr="00056B86">
        <w:rPr>
          <w:szCs w:val="28"/>
        </w:rPr>
        <w:t xml:space="preserve"> </w:t>
      </w:r>
      <w:r>
        <w:rPr>
          <w:szCs w:val="28"/>
        </w:rPr>
        <w:t xml:space="preserve">то, </w:t>
      </w:r>
      <w:r w:rsidRPr="00056B86">
        <w:rPr>
          <w:szCs w:val="28"/>
        </w:rPr>
        <w:t>что в 2016 году планируется проведение оценки объектов недвижимого имущества</w:t>
      </w:r>
      <w:r>
        <w:rPr>
          <w:szCs w:val="28"/>
        </w:rPr>
        <w:t xml:space="preserve">, </w:t>
      </w:r>
      <w:r w:rsidRPr="00056B86">
        <w:rPr>
          <w:szCs w:val="28"/>
        </w:rPr>
        <w:t>по результатам которой именно эта кадастровая оценка л</w:t>
      </w:r>
      <w:r>
        <w:rPr>
          <w:szCs w:val="28"/>
        </w:rPr>
        <w:t xml:space="preserve">яжет в основу налоговой базы, </w:t>
      </w:r>
      <w:r w:rsidRPr="00056B86">
        <w:rPr>
          <w:szCs w:val="28"/>
        </w:rPr>
        <w:t>работа по определению перечня объектов будет продолжена</w:t>
      </w:r>
      <w:r>
        <w:rPr>
          <w:szCs w:val="28"/>
        </w:rPr>
        <w:t>. В</w:t>
      </w:r>
      <w:r w:rsidRPr="00056B86">
        <w:rPr>
          <w:szCs w:val="28"/>
        </w:rPr>
        <w:t xml:space="preserve"> перспективе планируется переход на взимание налога на имущество организаций по отдельным объектам от их кадастровой стоимости.</w:t>
      </w:r>
    </w:p>
    <w:p w:rsidR="000F1BC5" w:rsidRPr="00056B86" w:rsidRDefault="000F1BC5" w:rsidP="000F1BC5">
      <w:pPr>
        <w:pStyle w:val="ConsPlusNormal"/>
        <w:ind w:firstLine="709"/>
        <w:jc w:val="both"/>
      </w:pPr>
      <w:proofErr w:type="gramStart"/>
      <w:r w:rsidRPr="00056B86">
        <w:t xml:space="preserve">Федеральным </w:t>
      </w:r>
      <w:hyperlink r:id="rId6" w:history="1">
        <w:r w:rsidRPr="00056B86">
          <w:t>законом</w:t>
        </w:r>
      </w:hyperlink>
      <w:r>
        <w:t xml:space="preserve"> от 04.10.2014 №</w:t>
      </w:r>
      <w:r w:rsidRPr="00056B86">
        <w:t xml:space="preserve"> 284-ФЗ «О внесении изменений в статьи 12 и 85 части первой и часть вторую Налогового кодекса Российской Федерации и признании утратившими силу закона Российской Федерации  «О налога</w:t>
      </w:r>
      <w:r>
        <w:t xml:space="preserve">х на имущество физических лиц» </w:t>
      </w:r>
      <w:r w:rsidRPr="00056B86">
        <w:t>(далее - Федеральный закон от 04.10.2014 № 284-ФЗ) внесены дополн</w:t>
      </w:r>
      <w:r>
        <w:t>ения в статью 378.2 Налогового к</w:t>
      </w:r>
      <w:r w:rsidRPr="00056B86">
        <w:t>одекса в части установления налоговой базы от кадастровой стоимости в отношении жилых домов</w:t>
      </w:r>
      <w:proofErr w:type="gramEnd"/>
      <w:r w:rsidRPr="00056B86">
        <w:t xml:space="preserve"> и жилых помещений, не учитываемых на балансе в качестве объектов основных сре</w:t>
      </w:r>
      <w:proofErr w:type="gramStart"/>
      <w:r w:rsidRPr="00056B86">
        <w:t>дств в п</w:t>
      </w:r>
      <w:proofErr w:type="gramEnd"/>
      <w:r w:rsidRPr="00056B86">
        <w:t>орядке, установленном для</w:t>
      </w:r>
      <w:r>
        <w:t xml:space="preserve"> ведения бухгалтерского учета. </w:t>
      </w:r>
      <w:r w:rsidRPr="00056B86">
        <w:t xml:space="preserve">Положения Федерального закона от 04.10.2014 № 284-ФЗ вступают в силу с 01.01.2015 года. </w:t>
      </w:r>
    </w:p>
    <w:p w:rsidR="000F1BC5" w:rsidRPr="00056B86" w:rsidRDefault="000F1BC5" w:rsidP="000F1BC5">
      <w:pPr>
        <w:widowControl w:val="0"/>
        <w:autoSpaceDE w:val="0"/>
        <w:autoSpaceDN w:val="0"/>
        <w:adjustRightInd w:val="0"/>
        <w:ind w:firstLine="709"/>
        <w:jc w:val="both"/>
        <w:rPr>
          <w:szCs w:val="28"/>
        </w:rPr>
      </w:pPr>
      <w:r w:rsidRPr="00056B86">
        <w:rPr>
          <w:szCs w:val="28"/>
        </w:rPr>
        <w:t>Плательщиками налога на имущество организаций по указанным объектам станут преимущественно строительные организации (застройщики), а также другие организации, имеющие на своем балансе жилые дома и жилые помещения, но не числящиеся в качестве основных средств.</w:t>
      </w:r>
    </w:p>
    <w:p w:rsidR="000F1BC5" w:rsidRPr="008B46AE" w:rsidRDefault="000F1BC5" w:rsidP="000F1BC5">
      <w:pPr>
        <w:pStyle w:val="ConsPlusNormal"/>
        <w:ind w:firstLine="709"/>
        <w:jc w:val="both"/>
      </w:pPr>
      <w:r>
        <w:lastRenderedPageBreak/>
        <w:t xml:space="preserve">Установление на территории Тверской области </w:t>
      </w:r>
      <w:r w:rsidRPr="00056B86">
        <w:t xml:space="preserve">особенностей определения налоговой базы </w:t>
      </w:r>
      <w:proofErr w:type="gramStart"/>
      <w:r w:rsidRPr="00056B86">
        <w:t>и</w:t>
      </w:r>
      <w:r>
        <w:t xml:space="preserve">сходя из кадастровой стоимости </w:t>
      </w:r>
      <w:r w:rsidRPr="00056B86">
        <w:t>в отношении жилых домов и жилых помещений, не учитываемых на балансе в качестве объектов основных средств</w:t>
      </w:r>
      <w:r>
        <w:t>, потребует</w:t>
      </w:r>
      <w:proofErr w:type="gramEnd"/>
      <w:r>
        <w:t xml:space="preserve"> внесения соответствующих изменений в </w:t>
      </w:r>
      <w:r w:rsidRPr="008B46AE">
        <w:rPr>
          <w:rFonts w:eastAsia="Calibri"/>
        </w:rPr>
        <w:t xml:space="preserve">Закон </w:t>
      </w:r>
      <w:r>
        <w:rPr>
          <w:rFonts w:eastAsia="Calibri"/>
        </w:rPr>
        <w:t>Тверской области от 27.11.2003 №</w:t>
      </w:r>
      <w:r w:rsidRPr="008B46AE">
        <w:rPr>
          <w:rFonts w:eastAsia="Calibri"/>
        </w:rPr>
        <w:t xml:space="preserve"> 85-ЗО</w:t>
      </w:r>
      <w:r>
        <w:rPr>
          <w:rFonts w:eastAsia="Calibri"/>
        </w:rPr>
        <w:t xml:space="preserve"> «</w:t>
      </w:r>
      <w:r w:rsidRPr="008B46AE">
        <w:t xml:space="preserve">О </w:t>
      </w:r>
      <w:r>
        <w:t>налоге на имущество организаций».</w:t>
      </w:r>
    </w:p>
    <w:p w:rsidR="000F1BC5" w:rsidRPr="00056B86" w:rsidRDefault="000F1BC5" w:rsidP="000F1BC5">
      <w:pPr>
        <w:autoSpaceDE w:val="0"/>
        <w:autoSpaceDN w:val="0"/>
        <w:adjustRightInd w:val="0"/>
        <w:ind w:firstLine="709"/>
        <w:jc w:val="both"/>
        <w:rPr>
          <w:szCs w:val="28"/>
        </w:rPr>
      </w:pPr>
    </w:p>
    <w:p w:rsidR="000F1BC5" w:rsidRPr="00056B86" w:rsidRDefault="000F1BC5" w:rsidP="000F1BC5">
      <w:pPr>
        <w:autoSpaceDE w:val="0"/>
        <w:autoSpaceDN w:val="0"/>
        <w:adjustRightInd w:val="0"/>
        <w:ind w:firstLine="709"/>
        <w:jc w:val="center"/>
        <w:rPr>
          <w:b/>
          <w:szCs w:val="28"/>
        </w:rPr>
      </w:pPr>
      <w:r>
        <w:rPr>
          <w:b/>
          <w:szCs w:val="28"/>
        </w:rPr>
        <w:t>2</w:t>
      </w:r>
      <w:r w:rsidRPr="00056B86">
        <w:rPr>
          <w:b/>
          <w:szCs w:val="28"/>
        </w:rPr>
        <w:t>.2 Налогообложение недвижимого имущества физических лиц</w:t>
      </w:r>
    </w:p>
    <w:p w:rsidR="000F1BC5" w:rsidRPr="00056B86" w:rsidRDefault="000F1BC5" w:rsidP="000F1BC5">
      <w:pPr>
        <w:autoSpaceDE w:val="0"/>
        <w:autoSpaceDN w:val="0"/>
        <w:adjustRightInd w:val="0"/>
        <w:jc w:val="both"/>
        <w:rPr>
          <w:szCs w:val="28"/>
        </w:rPr>
      </w:pPr>
    </w:p>
    <w:p w:rsidR="000F1BC5" w:rsidRPr="00056B86" w:rsidRDefault="000F1BC5" w:rsidP="000F1BC5">
      <w:pPr>
        <w:autoSpaceDE w:val="0"/>
        <w:autoSpaceDN w:val="0"/>
        <w:adjustRightInd w:val="0"/>
        <w:ind w:firstLine="709"/>
        <w:jc w:val="both"/>
        <w:rPr>
          <w:szCs w:val="28"/>
        </w:rPr>
      </w:pPr>
      <w:r w:rsidRPr="00056B86">
        <w:rPr>
          <w:szCs w:val="28"/>
        </w:rPr>
        <w:t xml:space="preserve">Налоговый кодекс </w:t>
      </w:r>
      <w:r>
        <w:rPr>
          <w:szCs w:val="28"/>
        </w:rPr>
        <w:t xml:space="preserve">дополнен </w:t>
      </w:r>
      <w:r w:rsidRPr="00056B86">
        <w:rPr>
          <w:szCs w:val="28"/>
        </w:rPr>
        <w:t>главой 32 «Налог на имущество физических лиц» (Ф</w:t>
      </w:r>
      <w:r>
        <w:rPr>
          <w:szCs w:val="28"/>
        </w:rPr>
        <w:t>едеральный закон от 04.10.2014 № 284-ФЗ «</w:t>
      </w:r>
      <w:r w:rsidRPr="00056B86">
        <w:rPr>
          <w:szCs w:val="28"/>
        </w:rPr>
        <w:t xml:space="preserve">О внесении изменений в статьи 12 и 85 части первой и часть вторую Налогового кодекса Российской Федерации и признании </w:t>
      </w:r>
      <w:proofErr w:type="gramStart"/>
      <w:r w:rsidRPr="00056B86">
        <w:rPr>
          <w:szCs w:val="28"/>
        </w:rPr>
        <w:t>утратившим</w:t>
      </w:r>
      <w:proofErr w:type="gramEnd"/>
      <w:r w:rsidRPr="00056B86">
        <w:rPr>
          <w:szCs w:val="28"/>
        </w:rPr>
        <w:t xml:space="preserve"> си</w:t>
      </w:r>
      <w:r>
        <w:rPr>
          <w:szCs w:val="28"/>
        </w:rPr>
        <w:t>лу Закона Российской Федерации «</w:t>
      </w:r>
      <w:r w:rsidRPr="00056B86">
        <w:rPr>
          <w:szCs w:val="28"/>
        </w:rPr>
        <w:t>О нало</w:t>
      </w:r>
      <w:r>
        <w:rPr>
          <w:szCs w:val="28"/>
        </w:rPr>
        <w:t>гах на имущество физических лиц»</w:t>
      </w:r>
      <w:r w:rsidRPr="00056B86">
        <w:rPr>
          <w:szCs w:val="28"/>
        </w:rPr>
        <w:t xml:space="preserve">). </w:t>
      </w:r>
    </w:p>
    <w:p w:rsidR="000F1BC5" w:rsidRPr="00056B86" w:rsidRDefault="000F1BC5" w:rsidP="000F1BC5">
      <w:pPr>
        <w:ind w:firstLine="709"/>
        <w:jc w:val="both"/>
        <w:rPr>
          <w:szCs w:val="28"/>
        </w:rPr>
      </w:pPr>
      <w:r w:rsidRPr="00056B86">
        <w:rPr>
          <w:szCs w:val="28"/>
        </w:rPr>
        <w:t>Данной главой устанавливается, что налоговой базой в отношении объектов налогообложения может признаваться к</w:t>
      </w:r>
      <w:r>
        <w:rPr>
          <w:szCs w:val="28"/>
        </w:rPr>
        <w:t xml:space="preserve">адастровая стоимость объектов </w:t>
      </w:r>
      <w:r w:rsidRPr="00056B86">
        <w:rPr>
          <w:szCs w:val="28"/>
        </w:rPr>
        <w:t>недвижимого имущества.</w:t>
      </w:r>
    </w:p>
    <w:p w:rsidR="000F1BC5" w:rsidRPr="00056B86" w:rsidRDefault="000F1BC5" w:rsidP="000F1BC5">
      <w:pPr>
        <w:ind w:firstLine="709"/>
        <w:jc w:val="both"/>
        <w:rPr>
          <w:szCs w:val="28"/>
        </w:rPr>
      </w:pPr>
      <w:r w:rsidRPr="00056B86">
        <w:rPr>
          <w:szCs w:val="28"/>
        </w:rPr>
        <w:t>Вводятся как самостоятельные новые объекты налогообложения</w:t>
      </w:r>
      <w:r>
        <w:rPr>
          <w:szCs w:val="28"/>
        </w:rPr>
        <w:t>,</w:t>
      </w:r>
      <w:r w:rsidRPr="00056B86">
        <w:rPr>
          <w:szCs w:val="28"/>
        </w:rPr>
        <w:t xml:space="preserve"> такие как:</w:t>
      </w:r>
    </w:p>
    <w:p w:rsidR="000F1BC5" w:rsidRPr="00056B86" w:rsidRDefault="000F1BC5" w:rsidP="000F1BC5">
      <w:pPr>
        <w:ind w:firstLine="709"/>
        <w:jc w:val="both"/>
        <w:rPr>
          <w:szCs w:val="28"/>
        </w:rPr>
      </w:pPr>
      <w:r w:rsidRPr="00056B86">
        <w:rPr>
          <w:szCs w:val="28"/>
        </w:rPr>
        <w:t xml:space="preserve">- </w:t>
      </w:r>
      <w:proofErr w:type="spellStart"/>
      <w:r w:rsidRPr="00056B86">
        <w:rPr>
          <w:szCs w:val="28"/>
        </w:rPr>
        <w:t>машино</w:t>
      </w:r>
      <w:proofErr w:type="spellEnd"/>
      <w:r w:rsidRPr="00056B86">
        <w:rPr>
          <w:szCs w:val="28"/>
        </w:rPr>
        <w:t>-место;</w:t>
      </w:r>
    </w:p>
    <w:p w:rsidR="000F1BC5" w:rsidRPr="00056B86" w:rsidRDefault="000F1BC5" w:rsidP="000F1BC5">
      <w:pPr>
        <w:ind w:firstLine="709"/>
        <w:jc w:val="both"/>
        <w:rPr>
          <w:szCs w:val="28"/>
        </w:rPr>
      </w:pPr>
      <w:r w:rsidRPr="00056B86">
        <w:rPr>
          <w:szCs w:val="28"/>
        </w:rPr>
        <w:t>-объект незавершенного строительства;</w:t>
      </w:r>
    </w:p>
    <w:p w:rsidR="000F1BC5" w:rsidRPr="00056B86" w:rsidRDefault="000F1BC5" w:rsidP="000F1BC5">
      <w:pPr>
        <w:ind w:firstLine="709"/>
        <w:jc w:val="both"/>
        <w:rPr>
          <w:szCs w:val="28"/>
        </w:rPr>
      </w:pPr>
      <w:r w:rsidRPr="00056B86">
        <w:rPr>
          <w:szCs w:val="28"/>
        </w:rPr>
        <w:t>- единый недвижимый комплекс.</w:t>
      </w:r>
    </w:p>
    <w:p w:rsidR="000F1BC5" w:rsidRPr="00056B86" w:rsidRDefault="000F1BC5" w:rsidP="000F1BC5">
      <w:pPr>
        <w:ind w:firstLine="709"/>
        <w:jc w:val="both"/>
        <w:rPr>
          <w:szCs w:val="28"/>
        </w:rPr>
      </w:pPr>
      <w:r w:rsidRPr="00056B86">
        <w:rPr>
          <w:szCs w:val="28"/>
        </w:rPr>
        <w:t xml:space="preserve">На территории Тверской области принят закон </w:t>
      </w:r>
      <w:r>
        <w:rPr>
          <w:szCs w:val="28"/>
        </w:rPr>
        <w:t xml:space="preserve">Тверской области от 13.11.2014 </w:t>
      </w:r>
      <w:r w:rsidRPr="00056B86">
        <w:rPr>
          <w:szCs w:val="28"/>
        </w:rPr>
        <w:t>№ 91-ЗО «О единой дате начала применения на территории Тверской области порядка определения налоговой базы по налогу на имущество физических лиц исходя из кадастровой стоимости объектов налогообложения» с 1 января 2015 года (далее – закон Тверской области от 13.11.2014 № 91-ЗО).</w:t>
      </w:r>
    </w:p>
    <w:p w:rsidR="000F1BC5" w:rsidRPr="00056B86" w:rsidRDefault="000F1BC5" w:rsidP="000F1BC5">
      <w:pPr>
        <w:ind w:firstLine="709"/>
        <w:jc w:val="both"/>
        <w:rPr>
          <w:szCs w:val="28"/>
        </w:rPr>
      </w:pPr>
      <w:r w:rsidRPr="00056B86">
        <w:rPr>
          <w:szCs w:val="28"/>
        </w:rPr>
        <w:t xml:space="preserve">В соответствии с </w:t>
      </w:r>
      <w:r>
        <w:rPr>
          <w:szCs w:val="28"/>
        </w:rPr>
        <w:t>Налоговым</w:t>
      </w:r>
      <w:r w:rsidRPr="00056B86">
        <w:rPr>
          <w:szCs w:val="28"/>
        </w:rPr>
        <w:t xml:space="preserve"> кодекс</w:t>
      </w:r>
      <w:r>
        <w:rPr>
          <w:szCs w:val="28"/>
        </w:rPr>
        <w:t>ом</w:t>
      </w:r>
      <w:r w:rsidRPr="00056B86">
        <w:rPr>
          <w:szCs w:val="28"/>
        </w:rPr>
        <w:t xml:space="preserve"> налог на имущество физич</w:t>
      </w:r>
      <w:r>
        <w:rPr>
          <w:szCs w:val="28"/>
        </w:rPr>
        <w:t>еских лиц устанавливается Налоговым</w:t>
      </w:r>
      <w:r w:rsidRPr="00056B86">
        <w:rPr>
          <w:szCs w:val="28"/>
        </w:rPr>
        <w:t xml:space="preserve"> кодекс</w:t>
      </w:r>
      <w:r>
        <w:rPr>
          <w:szCs w:val="28"/>
        </w:rPr>
        <w:t>ом</w:t>
      </w:r>
      <w:r w:rsidRPr="00056B86">
        <w:rPr>
          <w:szCs w:val="28"/>
        </w:rPr>
        <w:t xml:space="preserve"> и нормативными правовыми актами представительных органов муниципальных образований, вводится в действие и прекращает действовать в соответствии с </w:t>
      </w:r>
      <w:r>
        <w:rPr>
          <w:szCs w:val="28"/>
        </w:rPr>
        <w:t>Налоговым</w:t>
      </w:r>
      <w:r w:rsidRPr="00056B86">
        <w:rPr>
          <w:szCs w:val="28"/>
        </w:rPr>
        <w:t xml:space="preserve"> кодекс</w:t>
      </w:r>
      <w:r>
        <w:rPr>
          <w:szCs w:val="28"/>
        </w:rPr>
        <w:t>ом</w:t>
      </w:r>
      <w:r w:rsidRPr="00056B86">
        <w:rPr>
          <w:szCs w:val="28"/>
        </w:rPr>
        <w:t xml:space="preserve"> и нормативными правовыми актами представительных органов </w:t>
      </w:r>
      <w:r>
        <w:rPr>
          <w:szCs w:val="28"/>
        </w:rPr>
        <w:t xml:space="preserve">муниципальных образований, </w:t>
      </w:r>
      <w:r w:rsidRPr="00056B86">
        <w:rPr>
          <w:szCs w:val="28"/>
        </w:rPr>
        <w:t>и обязателен к уплате на территориях этих муниципальных образований.</w:t>
      </w:r>
    </w:p>
    <w:p w:rsidR="000F1BC5" w:rsidRPr="00056B86" w:rsidRDefault="000F1BC5" w:rsidP="000F1BC5">
      <w:pPr>
        <w:autoSpaceDE w:val="0"/>
        <w:autoSpaceDN w:val="0"/>
        <w:adjustRightInd w:val="0"/>
        <w:ind w:firstLine="709"/>
        <w:jc w:val="both"/>
        <w:rPr>
          <w:szCs w:val="28"/>
        </w:rPr>
      </w:pPr>
      <w:r w:rsidRPr="00056B86">
        <w:rPr>
          <w:szCs w:val="28"/>
        </w:rPr>
        <w:t>Устанавливая налог, представительные органы муниципальных образований определяют налоговые ставки в пределах, установленных</w:t>
      </w:r>
      <w:r w:rsidRPr="006A5DF3">
        <w:rPr>
          <w:szCs w:val="28"/>
        </w:rPr>
        <w:t xml:space="preserve"> </w:t>
      </w:r>
      <w:r>
        <w:rPr>
          <w:szCs w:val="28"/>
        </w:rPr>
        <w:t>Налоговым</w:t>
      </w:r>
      <w:r w:rsidRPr="00056B86">
        <w:rPr>
          <w:szCs w:val="28"/>
        </w:rPr>
        <w:t xml:space="preserve"> кодекс</w:t>
      </w:r>
      <w:r>
        <w:rPr>
          <w:szCs w:val="28"/>
        </w:rPr>
        <w:t>ом</w:t>
      </w:r>
      <w:r w:rsidRPr="00056B86">
        <w:rPr>
          <w:szCs w:val="28"/>
        </w:rPr>
        <w:t>, и особенности определения налоговой базы</w:t>
      </w:r>
      <w:r>
        <w:rPr>
          <w:szCs w:val="28"/>
        </w:rPr>
        <w:t xml:space="preserve">, могут также устанавливать </w:t>
      </w:r>
      <w:r w:rsidRPr="00056B86">
        <w:rPr>
          <w:szCs w:val="28"/>
        </w:rPr>
        <w:t>налоговые льготы, не предусмотренные</w:t>
      </w:r>
      <w:r>
        <w:rPr>
          <w:szCs w:val="28"/>
        </w:rPr>
        <w:t xml:space="preserve"> Налоговым</w:t>
      </w:r>
      <w:r w:rsidRPr="00056B86">
        <w:rPr>
          <w:szCs w:val="28"/>
        </w:rPr>
        <w:t xml:space="preserve"> кодекс</w:t>
      </w:r>
      <w:r>
        <w:rPr>
          <w:szCs w:val="28"/>
        </w:rPr>
        <w:t>ом</w:t>
      </w:r>
      <w:r w:rsidRPr="00056B86">
        <w:rPr>
          <w:szCs w:val="28"/>
        </w:rPr>
        <w:t>, основания и порядок их применения налогоплательщиками.</w:t>
      </w:r>
    </w:p>
    <w:p w:rsidR="000F1BC5" w:rsidRDefault="000F1BC5" w:rsidP="000F1BC5">
      <w:pPr>
        <w:autoSpaceDE w:val="0"/>
        <w:autoSpaceDN w:val="0"/>
        <w:adjustRightInd w:val="0"/>
        <w:ind w:firstLine="709"/>
        <w:jc w:val="both"/>
        <w:rPr>
          <w:szCs w:val="28"/>
        </w:rPr>
      </w:pPr>
      <w:r w:rsidRPr="00056B86">
        <w:rPr>
          <w:szCs w:val="28"/>
        </w:rPr>
        <w:t>На т</w:t>
      </w:r>
      <w:r>
        <w:rPr>
          <w:szCs w:val="28"/>
        </w:rPr>
        <w:t xml:space="preserve">ерритории Тверской области все муниципальные образования </w:t>
      </w:r>
      <w:r w:rsidRPr="00056B86">
        <w:rPr>
          <w:szCs w:val="28"/>
        </w:rPr>
        <w:t xml:space="preserve">приняли до 1 декабря 2014 года </w:t>
      </w:r>
      <w:r>
        <w:rPr>
          <w:szCs w:val="28"/>
        </w:rPr>
        <w:t>свои нормативные правовые акты о введении на их территориях</w:t>
      </w:r>
      <w:r w:rsidRPr="00056B86">
        <w:rPr>
          <w:szCs w:val="28"/>
        </w:rPr>
        <w:t xml:space="preserve"> с 1 января 2015 года налога на имущество физических лиц исходя из кадастровой стоимости объектов налогообложения. Налог на </w:t>
      </w:r>
      <w:r w:rsidRPr="00056B86">
        <w:rPr>
          <w:szCs w:val="28"/>
        </w:rPr>
        <w:lastRenderedPageBreak/>
        <w:t xml:space="preserve">имущество физических лиц от кадастровой стоимости будет уплачен за 2015 год в 2016 году. </w:t>
      </w:r>
    </w:p>
    <w:p w:rsidR="000F1BC5" w:rsidRDefault="000F1BC5" w:rsidP="000F1BC5">
      <w:pPr>
        <w:autoSpaceDE w:val="0"/>
        <w:autoSpaceDN w:val="0"/>
        <w:adjustRightInd w:val="0"/>
        <w:ind w:firstLine="540"/>
        <w:jc w:val="both"/>
        <w:rPr>
          <w:b/>
          <w:szCs w:val="28"/>
        </w:rPr>
      </w:pPr>
    </w:p>
    <w:p w:rsidR="000F1BC5" w:rsidRPr="00056B86" w:rsidRDefault="000F1BC5" w:rsidP="002F65A1">
      <w:pPr>
        <w:autoSpaceDE w:val="0"/>
        <w:autoSpaceDN w:val="0"/>
        <w:adjustRightInd w:val="0"/>
        <w:ind w:firstLine="540"/>
        <w:jc w:val="center"/>
        <w:rPr>
          <w:b/>
          <w:szCs w:val="28"/>
        </w:rPr>
      </w:pPr>
      <w:r>
        <w:rPr>
          <w:b/>
          <w:szCs w:val="28"/>
        </w:rPr>
        <w:t xml:space="preserve">2.3. </w:t>
      </w:r>
      <w:r w:rsidRPr="00056B86">
        <w:rPr>
          <w:b/>
          <w:szCs w:val="28"/>
        </w:rPr>
        <w:t>Предоставление 2-летних налоговых каникул индивидуаль</w:t>
      </w:r>
      <w:r>
        <w:rPr>
          <w:b/>
          <w:szCs w:val="28"/>
        </w:rPr>
        <w:t>ным предпринимателям</w:t>
      </w:r>
    </w:p>
    <w:p w:rsidR="000F1BC5" w:rsidRPr="00056B86" w:rsidRDefault="000F1BC5" w:rsidP="000F1BC5">
      <w:pPr>
        <w:autoSpaceDE w:val="0"/>
        <w:autoSpaceDN w:val="0"/>
        <w:adjustRightInd w:val="0"/>
        <w:ind w:firstLine="540"/>
        <w:jc w:val="both"/>
        <w:rPr>
          <w:b/>
          <w:szCs w:val="28"/>
        </w:rPr>
      </w:pPr>
    </w:p>
    <w:p w:rsidR="000F1BC5" w:rsidRPr="00056B86" w:rsidRDefault="000F1BC5" w:rsidP="000F1BC5">
      <w:pPr>
        <w:widowControl w:val="0"/>
        <w:ind w:firstLine="709"/>
        <w:jc w:val="both"/>
        <w:rPr>
          <w:szCs w:val="28"/>
        </w:rPr>
      </w:pPr>
      <w:proofErr w:type="gramStart"/>
      <w:r w:rsidRPr="007A7D9F">
        <w:rPr>
          <w:snapToGrid w:val="0"/>
          <w:szCs w:val="28"/>
        </w:rPr>
        <w:t>В целях облегчения налогового бремени для тех, кто только начинает свою работу,</w:t>
      </w:r>
      <w:r>
        <w:rPr>
          <w:snapToGrid w:val="0"/>
          <w:szCs w:val="28"/>
        </w:rPr>
        <w:t xml:space="preserve"> </w:t>
      </w:r>
      <w:r w:rsidRPr="00056B86">
        <w:rPr>
          <w:snapToGrid w:val="0"/>
          <w:szCs w:val="28"/>
        </w:rPr>
        <w:t>Федеральными законами от 29.12.2014 № 477-ФЗ «О внесении изменений в часть вторую Налогового кодекса Российской Федерации» и от 13.07.2015 № 232-ФЗ «О внесении изменений в статью 12 части первой и часть вторую Налогового кодекса Российской Федерации» в статьи 346.20 и 346.50 Налогового кодекса Российской Федерации внесены изменен</w:t>
      </w:r>
      <w:r>
        <w:rPr>
          <w:snapToGrid w:val="0"/>
          <w:szCs w:val="28"/>
        </w:rPr>
        <w:t>ия, предоставляющие субъектам</w:t>
      </w:r>
      <w:r w:rsidRPr="00056B86">
        <w:rPr>
          <w:snapToGrid w:val="0"/>
          <w:szCs w:val="28"/>
        </w:rPr>
        <w:t xml:space="preserve"> Российской</w:t>
      </w:r>
      <w:proofErr w:type="gramEnd"/>
      <w:r w:rsidRPr="00056B86">
        <w:rPr>
          <w:snapToGrid w:val="0"/>
          <w:szCs w:val="28"/>
        </w:rPr>
        <w:t xml:space="preserve"> </w:t>
      </w:r>
      <w:proofErr w:type="gramStart"/>
      <w:r w:rsidRPr="00056B86">
        <w:rPr>
          <w:snapToGrid w:val="0"/>
          <w:szCs w:val="28"/>
        </w:rPr>
        <w:t xml:space="preserve">Федерации право </w:t>
      </w:r>
      <w:bookmarkStart w:id="0" w:name="Par0"/>
      <w:bookmarkEnd w:id="0"/>
      <w:r w:rsidRPr="00056B86">
        <w:rPr>
          <w:szCs w:val="28"/>
        </w:rPr>
        <w:t xml:space="preserve">установления налоговой ставки в размере 0 процентов для налогоплательщиков - индивидуальных предпринимателей, впервые зарегистрированных после вступления в силу соответствующих законов субъектов </w:t>
      </w:r>
      <w:r w:rsidRPr="00056B86">
        <w:rPr>
          <w:snapToGrid w:val="0"/>
          <w:szCs w:val="28"/>
        </w:rPr>
        <w:t xml:space="preserve">Российской Федерации </w:t>
      </w:r>
      <w:r w:rsidRPr="00056B86">
        <w:rPr>
          <w:szCs w:val="28"/>
        </w:rPr>
        <w:t>и осуществляющих предпринимательскую деятельность в производственной, социальной и (или) научной сферах, а также в сфере бытовых услуг населению.</w:t>
      </w:r>
      <w:proofErr w:type="gramEnd"/>
    </w:p>
    <w:p w:rsidR="000F1BC5" w:rsidRPr="00056B86" w:rsidRDefault="000F1BC5" w:rsidP="000F1BC5">
      <w:pPr>
        <w:autoSpaceDE w:val="0"/>
        <w:autoSpaceDN w:val="0"/>
        <w:adjustRightInd w:val="0"/>
        <w:ind w:firstLine="709"/>
        <w:jc w:val="both"/>
        <w:rPr>
          <w:szCs w:val="28"/>
        </w:rPr>
      </w:pPr>
      <w:r w:rsidRPr="00056B86">
        <w:rPr>
          <w:szCs w:val="28"/>
        </w:rPr>
        <w:t>Индивидуальные предприниматели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w:t>
      </w:r>
    </w:p>
    <w:p w:rsidR="000F1BC5" w:rsidRPr="00056B86" w:rsidRDefault="000F1BC5" w:rsidP="000F1BC5">
      <w:pPr>
        <w:ind w:firstLine="709"/>
        <w:jc w:val="both"/>
        <w:rPr>
          <w:szCs w:val="28"/>
        </w:rPr>
      </w:pPr>
      <w:r w:rsidRPr="00056B86">
        <w:rPr>
          <w:szCs w:val="28"/>
        </w:rPr>
        <w:t>В соответствии с пунктом 1.27 перечня поручений Президента Российск</w:t>
      </w:r>
      <w:r>
        <w:rPr>
          <w:szCs w:val="28"/>
        </w:rPr>
        <w:t>ой Федерации от 27.12.2013 года</w:t>
      </w:r>
      <w:r w:rsidRPr="00056B86">
        <w:rPr>
          <w:szCs w:val="28"/>
        </w:rPr>
        <w:t xml:space="preserve"> № </w:t>
      </w:r>
      <w:proofErr w:type="spellStart"/>
      <w:proofErr w:type="gramStart"/>
      <w:r w:rsidRPr="00056B86">
        <w:rPr>
          <w:szCs w:val="28"/>
        </w:rPr>
        <w:t>Пр</w:t>
      </w:r>
      <w:proofErr w:type="spellEnd"/>
      <w:proofErr w:type="gramEnd"/>
      <w:r w:rsidRPr="00056B86">
        <w:rPr>
          <w:szCs w:val="28"/>
        </w:rPr>
        <w:t xml:space="preserve"> - 3086 по реализации Послания Президента Российской Федерации Федеральному Собранию Российской Федерации от 12.12.2013 и пунктов 18, 19 Плана первоочередных мероприятий по обеспечению устойчивого развития экономики и социальной стабильности в 2015 году в Тверской области, утвержденного распоряжением Правительства Тверской области от 13.02.2015 № 88-рп</w:t>
      </w:r>
      <w:r>
        <w:rPr>
          <w:szCs w:val="28"/>
        </w:rPr>
        <w:t>,</w:t>
      </w:r>
      <w:r w:rsidRPr="00056B86">
        <w:rPr>
          <w:szCs w:val="28"/>
        </w:rPr>
        <w:t xml:space="preserve"> подготовлен и принят 19.03.2015 года в первом чтении проект закона Тверской области «Об установлении налоговой ставки в размере 0 процентов для индивидуальных предпринимателей при применении упро</w:t>
      </w:r>
      <w:r>
        <w:rPr>
          <w:szCs w:val="28"/>
        </w:rPr>
        <w:t xml:space="preserve">щенной системы налогообложения </w:t>
      </w:r>
      <w:r w:rsidRPr="00056B86">
        <w:rPr>
          <w:szCs w:val="28"/>
        </w:rPr>
        <w:t>и патентной системы налогообложения на территории Тверской области». Рассмотрение закона Законодательным Собранием Тверской области во втором чтении запланирован</w:t>
      </w:r>
      <w:r>
        <w:rPr>
          <w:szCs w:val="28"/>
        </w:rPr>
        <w:t>о на осеннюю сессию 2015 года.</w:t>
      </w:r>
    </w:p>
    <w:p w:rsidR="000F1BC5" w:rsidRPr="00056B86" w:rsidRDefault="000F1BC5" w:rsidP="000F1BC5">
      <w:pPr>
        <w:autoSpaceDE w:val="0"/>
        <w:autoSpaceDN w:val="0"/>
        <w:adjustRightInd w:val="0"/>
        <w:ind w:firstLine="709"/>
        <w:jc w:val="both"/>
        <w:rPr>
          <w:szCs w:val="28"/>
        </w:rPr>
      </w:pPr>
      <w:r w:rsidRPr="00056B86">
        <w:rPr>
          <w:szCs w:val="28"/>
        </w:rPr>
        <w:t>Перечень видов предпринимательской деятельности, в отношении которых индивидуальные предприниматели будут вправе применять налоговую ставку в размере 0 процентов</w:t>
      </w:r>
      <w:r>
        <w:rPr>
          <w:szCs w:val="28"/>
        </w:rPr>
        <w:t>,</w:t>
      </w:r>
      <w:r w:rsidRPr="00056B86">
        <w:rPr>
          <w:szCs w:val="28"/>
        </w:rPr>
        <w:t xml:space="preserve"> будет окончательно принят Законодательным Собранием Тверской области в результате рассмотрения проекта закона во втором чтении. </w:t>
      </w:r>
    </w:p>
    <w:p w:rsidR="000F1BC5" w:rsidRPr="00056B86" w:rsidRDefault="000F1BC5" w:rsidP="000F1BC5">
      <w:pPr>
        <w:autoSpaceDE w:val="0"/>
        <w:autoSpaceDN w:val="0"/>
        <w:adjustRightInd w:val="0"/>
        <w:ind w:firstLine="709"/>
        <w:jc w:val="both"/>
        <w:rPr>
          <w:szCs w:val="28"/>
        </w:rPr>
      </w:pPr>
      <w:proofErr w:type="gramStart"/>
      <w:r w:rsidRPr="00056B86">
        <w:rPr>
          <w:szCs w:val="28"/>
        </w:rPr>
        <w:t>В соответствии с пунктом 8 статьи 5 Федерального закона от 29.06.2012 № 97-ФЗ «О внесении изменений</w:t>
      </w:r>
      <w:r>
        <w:rPr>
          <w:szCs w:val="28"/>
        </w:rPr>
        <w:t xml:space="preserve"> в часть первую и часть вторую </w:t>
      </w:r>
      <w:r w:rsidRPr="00056B86">
        <w:rPr>
          <w:szCs w:val="28"/>
        </w:rPr>
        <w:t xml:space="preserve">Налогового кодекса Российской Федерации и статью 26 Федерального закона «О банках и банковской деятельности» положения главы 26.3 части второй </w:t>
      </w:r>
      <w:r w:rsidRPr="00056B86">
        <w:rPr>
          <w:szCs w:val="28"/>
        </w:rPr>
        <w:lastRenderedPageBreak/>
        <w:t>Налогового кодекса «Система налогообложения в виде единого налога на вмененный доход для отдельных видов деятельности» (далее – ЕНВД) не применяются с</w:t>
      </w:r>
      <w:proofErr w:type="gramEnd"/>
      <w:r w:rsidRPr="00056B86">
        <w:rPr>
          <w:szCs w:val="28"/>
        </w:rPr>
        <w:t xml:space="preserve"> 1 января 2018 года.</w:t>
      </w:r>
    </w:p>
    <w:p w:rsidR="000F1BC5" w:rsidRDefault="000F1BC5" w:rsidP="000F1BC5">
      <w:pPr>
        <w:autoSpaceDE w:val="0"/>
        <w:autoSpaceDN w:val="0"/>
        <w:adjustRightInd w:val="0"/>
        <w:ind w:firstLine="709"/>
        <w:jc w:val="both"/>
        <w:rPr>
          <w:szCs w:val="28"/>
        </w:rPr>
      </w:pPr>
      <w:r w:rsidRPr="00056B86">
        <w:rPr>
          <w:szCs w:val="28"/>
        </w:rPr>
        <w:t>Организации и индивидуальные предприниматели, применяющие в настоящее время систему ЕНВД, имеют право выбора системы налогообложения из действующих на территории Тверской области – общепринятой и упрощенной систем налогообложения. Налогоплательщики – индивидуальные предприниматели вправе также воспользоваться патентной системой налогообложения, введенной на территории Тверской области, и которая может применяться индивидуальными предпринимателями в отношении видов предпринимательской деятельности, аналогичных видам, в отношении которых в настоящее время применяется система ЕНВД.</w:t>
      </w:r>
    </w:p>
    <w:p w:rsidR="000F1BC5" w:rsidRPr="007A7D9F" w:rsidRDefault="000F1BC5" w:rsidP="000F1BC5">
      <w:pPr>
        <w:autoSpaceDE w:val="0"/>
        <w:autoSpaceDN w:val="0"/>
        <w:adjustRightInd w:val="0"/>
        <w:ind w:firstLine="709"/>
        <w:jc w:val="both"/>
        <w:rPr>
          <w:szCs w:val="28"/>
        </w:rPr>
      </w:pPr>
      <w:r w:rsidRPr="007A7D9F">
        <w:rPr>
          <w:szCs w:val="28"/>
        </w:rPr>
        <w:t>В Тверской области ведется работа по расширению видов предпринимательской деятельности, в отношении которых может применяться патентная система.</w:t>
      </w:r>
    </w:p>
    <w:p w:rsidR="000F1BC5" w:rsidRPr="007A7D9F" w:rsidRDefault="000F1BC5" w:rsidP="000F1BC5">
      <w:pPr>
        <w:ind w:firstLine="709"/>
        <w:jc w:val="both"/>
        <w:rPr>
          <w:szCs w:val="28"/>
        </w:rPr>
      </w:pPr>
      <w:r w:rsidRPr="007A7D9F">
        <w:rPr>
          <w:szCs w:val="28"/>
        </w:rPr>
        <w:t>Патентная система на территории Тверской области введена законом Тверской области от 29.11.2012 № 110-ЗО «О патентной системе налогообложения в Тверской области (далее – Закон от 29.11.2012 № 110-ЗО) и может применяться в отношении 49 видов предпринимательской деятельности.</w:t>
      </w:r>
    </w:p>
    <w:p w:rsidR="000F1BC5" w:rsidRPr="007A7D9F" w:rsidRDefault="000F1BC5" w:rsidP="000F1BC5">
      <w:pPr>
        <w:ind w:firstLine="709"/>
        <w:jc w:val="both"/>
        <w:rPr>
          <w:szCs w:val="28"/>
        </w:rPr>
      </w:pPr>
      <w:r w:rsidRPr="007A7D9F">
        <w:rPr>
          <w:szCs w:val="28"/>
        </w:rPr>
        <w:t xml:space="preserve">Федеральным законом от 13.07.2015 № 232-ФЗ  «О внесении изменений в статью 12 части первой и часть вторую Налогового кодекса Российской Федерации» пункт 2 статьи 346.43  НК РФ, который устанавливает перечень видов предпринимательской деятельности, в отношении которых может применяться патентная система налогообложения, дополнен 16 видами предпринимательской деятельности. </w:t>
      </w:r>
    </w:p>
    <w:p w:rsidR="000F1BC5" w:rsidRDefault="000F1BC5" w:rsidP="000F1BC5">
      <w:pPr>
        <w:spacing w:before="120" w:after="120"/>
        <w:jc w:val="both"/>
        <w:rPr>
          <w:b/>
          <w:szCs w:val="28"/>
        </w:rPr>
      </w:pPr>
      <w:r w:rsidRPr="007A7D9F">
        <w:rPr>
          <w:szCs w:val="28"/>
        </w:rPr>
        <w:t>Для приведения Закона от 29.11.2012 № 110-ОЗ в соответствие с федеральным законодательством будет подготовлен и внесен на рассмотрение в Законодательное Собрание Тверской области соответствующий проект закона Тверской области</w:t>
      </w:r>
    </w:p>
    <w:p w:rsidR="00E64FD0" w:rsidRDefault="00E64FD0">
      <w:pPr>
        <w:rPr>
          <w:b/>
          <w:szCs w:val="28"/>
          <w:lang w:val="en-US"/>
        </w:rPr>
      </w:pPr>
    </w:p>
    <w:p w:rsidR="00D861A1" w:rsidRPr="003C5552" w:rsidRDefault="00D861A1" w:rsidP="00D861A1">
      <w:pPr>
        <w:tabs>
          <w:tab w:val="num" w:pos="993"/>
          <w:tab w:val="num" w:pos="1083"/>
        </w:tabs>
        <w:jc w:val="both"/>
        <w:rPr>
          <w:b/>
          <w:szCs w:val="28"/>
        </w:rPr>
      </w:pPr>
      <w:r w:rsidRPr="003C5552">
        <w:rPr>
          <w:b/>
          <w:szCs w:val="28"/>
        </w:rPr>
        <w:t xml:space="preserve">Министр финансов </w:t>
      </w:r>
    </w:p>
    <w:p w:rsidR="00D861A1" w:rsidRPr="003C5552" w:rsidRDefault="00D861A1" w:rsidP="00D861A1">
      <w:pPr>
        <w:tabs>
          <w:tab w:val="num" w:pos="993"/>
          <w:tab w:val="num" w:pos="1083"/>
        </w:tabs>
        <w:jc w:val="both"/>
        <w:rPr>
          <w:b/>
          <w:szCs w:val="28"/>
        </w:rPr>
      </w:pPr>
      <w:r w:rsidRPr="003C5552">
        <w:rPr>
          <w:b/>
          <w:szCs w:val="28"/>
        </w:rPr>
        <w:t xml:space="preserve">Тверской области                                                     </w:t>
      </w:r>
      <w:r w:rsidRPr="00D861A1">
        <w:rPr>
          <w:b/>
          <w:szCs w:val="28"/>
        </w:rPr>
        <w:tab/>
      </w:r>
      <w:r w:rsidRPr="00D861A1">
        <w:rPr>
          <w:b/>
          <w:szCs w:val="28"/>
        </w:rPr>
        <w:tab/>
      </w:r>
      <w:bookmarkStart w:id="1" w:name="_GoBack"/>
      <w:bookmarkEnd w:id="1"/>
      <w:r w:rsidRPr="003C5552">
        <w:rPr>
          <w:b/>
          <w:szCs w:val="28"/>
        </w:rPr>
        <w:t xml:space="preserve"> И.А. </w:t>
      </w:r>
      <w:proofErr w:type="spellStart"/>
      <w:r w:rsidRPr="003C5552">
        <w:rPr>
          <w:b/>
          <w:szCs w:val="28"/>
        </w:rPr>
        <w:t>Северина</w:t>
      </w:r>
      <w:proofErr w:type="spellEnd"/>
    </w:p>
    <w:p w:rsidR="00D861A1" w:rsidRPr="00D861A1" w:rsidRDefault="00D861A1">
      <w:pPr>
        <w:rPr>
          <w:b/>
          <w:szCs w:val="28"/>
        </w:rPr>
      </w:pPr>
    </w:p>
    <w:p w:rsidR="00D861A1" w:rsidRPr="00D861A1" w:rsidRDefault="00D861A1"/>
    <w:sectPr w:rsidR="00D861A1" w:rsidRPr="00D86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C5"/>
    <w:rsid w:val="000F1BC5"/>
    <w:rsid w:val="002F65A1"/>
    <w:rsid w:val="002F7E9B"/>
    <w:rsid w:val="00D861A1"/>
    <w:rsid w:val="00E64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BC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BC5"/>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BC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BC5"/>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D44591A8A46128EE74C25D8B6C0692F77F615E8B8BE4DB2A00513ABC361127F76F6422B49E3A6393BJD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30D2A-AD67-4DA2-BA9F-A2E7150E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3110</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Vishnyakova</dc:creator>
  <cp:lastModifiedBy>Vishnyakova</cp:lastModifiedBy>
  <cp:revision>4</cp:revision>
  <cp:lastPrinted>2015-10-21T06:19:00Z</cp:lastPrinted>
  <dcterms:created xsi:type="dcterms:W3CDTF">2015-10-14T12:23:00Z</dcterms:created>
  <dcterms:modified xsi:type="dcterms:W3CDTF">2015-10-21T06:20:00Z</dcterms:modified>
</cp:coreProperties>
</file>